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ولي العمد يرضى بالدية-كتاب الديات-سنن أبي داود — رقم الحديث: 4506 — الرقم الفرعي: 99 — الرقم الأصلي: 4506</w:t>
        <w:br/>
      </w:r>
      <w:r>
        <w:rPr>
          <w:rtl w:val="1"/>
        </w:rPr>
        <w:t xml:space="preserve"> حدثنا مسلم ثنا محمد بن راشد ثنا سليمان بن موسى عن عمرو بن شعيب عن أبيه عن جده عن النبيِّ ﷺ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«لا يُقتَلُ مؤمِنٌ بِكافرٍ،  </w:t>
      </w:r>
      <w:r>
        <w:rPr>
          <w:color w:val="FF0000"/>
          <w:rtl w:val="1"/>
        </w:rPr>
        <w:t xml:space="preserve">ومَنْ قَتَلَ مؤمِنًا متعمِّدًا دُفِعَ إلى أولياءِ المقتولِ: فإن شاؤوا قَتَلُوه، وإن شاؤوا أخَذُوا الدِّية».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كيفية التنفيذ</w:t>
      </w:r>
    </w:p>
    <w:p>
      <w:pPr>
        <w:bidi w:val="1"/>
        <w:jc w:val="start"/>
      </w:pPr>
      <w:r>
        <w:rPr>
          <w:rtl w:val="1"/>
        </w:rPr>
        <w:t>الشرح: الدلالة: من تجب عليه الدية</w:t>
      </w:r>
    </w:p>
    <w:p>
      <w:pPr>
        <w:bidi w:val="1"/>
        <w:jc w:val="start"/>
      </w:pPr>
      <w:r>
        <w:rPr>
          <w:rtl w:val="1"/>
        </w:rPr>
        <w:t>الشرح: الدلالة: التماثل في القصاص - قواعد عامة في العقوبات</w:t>
      </w:r>
    </w:p>
    <w:p>
      <w:pPr>
        <w:bidi w:val="1"/>
        <w:jc w:val="start"/>
      </w:pPr>
      <w:r>
        <w:rPr>
          <w:rtl w:val="1"/>
        </w:rPr>
        <w:t>الشرح: الدلالة: الدية والعاقلة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تنفيذ أحكام الحدود والقصاص  (انظر العقوبات) - كيفية التنفيذ</w:t>
      </w:r>
    </w:p>
    <w:p>
      <w:pPr>
        <w:bidi w:val="1"/>
        <w:jc w:val="start"/>
      </w:pPr>
      <w:r>
        <w:rPr>
          <w:rtl w:val="1"/>
        </w:rPr>
        <w:t>الشرح: الدلالة: الدية على العاقلة - من تجب عليه الدية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من يستوفي القصاص - عقوبة قتل العمد</w:t>
      </w:r>
    </w:p>
    <w:p>
      <w:pPr>
        <w:bidi w:val="1"/>
        <w:jc w:val="start"/>
      </w:pPr>
      <w:r>
        <w:rPr>
          <w:rtl w:val="1"/>
        </w:rPr>
        <w:t>الشرح: الدلالة: قتل المسلم بالكافر - عقوبة قتل العمد</w:t>
      </w:r>
    </w:p>
    <w:p>
      <w:pPr>
        <w:bidi w:val="1"/>
        <w:jc w:val="start"/>
      </w:pPr>
      <w:r>
        <w:rPr>
          <w:rtl w:val="1"/>
        </w:rPr>
        <w:t>الشرح: الدلالة: حرمة دم المواطن وعرضه وماله - حقوق المواطن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