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من قام رمضان وصامه،إيمانا واحتسابا،والاختلاف على الزهري في الخبرفي ذلك-كتاب الصيام-سنن النسائي — رقم الحديث: 2191 — الرقم الفرعي: 99 — الرقم الأصلي: 2191</w:t>
        <w:br/>
      </w:r>
      <w:r>
        <w:rPr>
          <w:rtl w:val="1"/>
        </w:rPr>
        <w:t xml:space="preserve"> أخبرنا محمد بن عبد الله بن عبد الحكم عن شعيب عن الليث قال:أنبأنا خالد عن ابن أبي هلال عن ابن شهاب عن سعيد بن المُسيّب عن رسول الله صلى الله عليه وسلم</w:t>
        <w:br/>
      </w:r>
      <w:r>
        <w:rPr>
          <w:color w:val="FF0000"/>
          <w:rtl w:val="1"/>
        </w:rPr>
        <w:t xml:space="preserve">قال: «مَن قامَ رَمَضان إيمانًا واحتِسابًا غُفِر له ما تَقدَّم مِن ذَنبِه».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