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 نرى تقلّب وجهك في السماء-كتاب التفسير-صحيح البخاري — رقم الحديث: 4503 — الرقم الفرعي: 99 — الرقم الأصلي: 4503</w:t>
        <w:br/>
      </w:r>
      <w:r>
        <w:rPr>
          <w:rtl w:val="1"/>
        </w:rPr>
        <w:t xml:space="preserve"> حدثني محمود أخبرنا عبيدالله عن إسرائيل عن منصور عن إبراهيم عن علقمة عن عبد الله</w:t>
        <w:br/>
      </w:r>
      <w:r>
        <w:rPr>
          <w:color w:val="FF0000"/>
          <w:rtl w:val="1"/>
        </w:rPr>
        <w:t xml:space="preserve">قال: دَخَلَ عليه الأشعَثُ وهو يَطْعَمُ، فقال: اليومُ عاشُوراءُ، فقال: كان يُصامُ قبلَ أنْ يَنزِلَ رَمَضانُ، فلمّا نَزَلَ رَمَضانُ تُرِكَ، فادْنُ فكُلْ.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يوم عاشوراء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ما ورد في عاشوراء - ما ورد في الأيام والليالي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