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1817 — الرقم الفرعي: 99 — الرقم الأصلي: 1282 — ج: 2 — ص: 144</w:t>
        <w:br/>
      </w:r>
      <w:r>
        <w:rPr>
          <w:rtl w:val="1"/>
        </w:rPr>
        <w:t xml:space="preserve"> وحدثني عن مالك</w:t>
        <w:br/>
      </w:r>
      <w:r>
        <w:rPr>
          <w:color w:val="000000"/>
          <w:rtl w:val="1"/>
        </w:rPr>
        <w:t xml:space="preserve">أنّه بلَغه،  </w:t>
      </w:r>
      <w:r>
        <w:rPr>
          <w:color w:val="000000"/>
          <w:rtl w:val="1"/>
        </w:rPr>
        <w:t xml:space="preserve">أن عُمرَ بنَ عبد العَزيز قضَى بوَضعِ الجائحَة. </w:t>
      </w:r>
      <w:r>
        <w:rPr>
          <w:color w:val="000000"/>
          <w:rtl w:val="1"/>
        </w:rPr>
        <w:t xml:space="preserve">قال مالك: وعلى ذلك الأَمرُ عندَنا. </w:t>
      </w:r>
      <w:r>
        <w:rPr>
          <w:color w:val="000000"/>
          <w:rtl w:val="1"/>
        </w:rPr>
        <w:t xml:space="preserve">1818- قال مالك: والجائحَةُ التي تَوضَعُ عن المُشتَري: الثُّلثُ فصاعِدًا، ولا يكونُ فيما دونَ ذلك جائحَة. 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