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الناس والدواب من الأنهار-كتاب الشرب-صحيح البخاري — رقم الحديث: 2371 — الرقم الفرعي: 99 — الرقم الأصلي: 2371</w:t>
        <w:br/>
      </w:r>
      <w:r>
        <w:rPr>
          <w:rtl w:val="1"/>
        </w:rPr>
        <w:t xml:space="preserve"> حدثنا عبد الله بن يوسف أخبرنا مالك بن أنس عن زيد بن أسلم عن أبي صالح السّمّان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«الخَيلُ لرجلٍ أجرٌ، ولِرجلٍ سِتْرٌ، وعلى رجلٍ وِزْرٌ،  </w:t>
      </w:r>
      <w:r>
        <w:rPr>
          <w:color w:val="FF0000"/>
          <w:rtl w:val="1"/>
        </w:rPr>
        <w:t xml:space="preserve">فأمَّا الَّذي له أجرٌ فرجلٌ رَبَطَها في سبيلِ الله، فأطالَ بها في مَرْجٍ أو رَوْضةٍ،  </w:t>
      </w:r>
      <w:r>
        <w:rPr>
          <w:color w:val="FF0000"/>
          <w:rtl w:val="1"/>
        </w:rPr>
        <w:t xml:space="preserve">فما أصابَتْ في طِيَلِها ذلكَ مِنَ المَرْجِ أو الرَّوْضةِ كانت له حَسَناتٍ،  </w:t>
      </w:r>
      <w:r>
        <w:rPr>
          <w:color w:val="FF0000"/>
          <w:rtl w:val="1"/>
        </w:rPr>
        <w:t xml:space="preserve">ولو أنَّه انقَطَعَ طِيَلُها فاستَنَّتْ شَرَفًا أو شَرَفَينِ، كانت آثارُها وأرواثُها حَسَناتٍ له،  </w:t>
      </w:r>
      <w:r>
        <w:rPr>
          <w:color w:val="FF0000"/>
          <w:rtl w:val="1"/>
        </w:rPr>
        <w:t xml:space="preserve">ولو أنَّها مَرَّتْ بنَهَرٍ فشَرِبَتْ منه، ولم يُرِدْ أنْ يَسْقِيَ كانَ ذلكَ حَسَناتٍ له،  </w:t>
      </w:r>
      <w:r>
        <w:rPr>
          <w:color w:val="FF0000"/>
          <w:rtl w:val="1"/>
        </w:rPr>
        <w:t xml:space="preserve">فهي لذلكَ أجرٌ.  </w:t>
      </w:r>
      <w:r>
        <w:rPr>
          <w:color w:val="FF0000"/>
          <w:rtl w:val="1"/>
        </w:rPr>
        <w:t xml:space="preserve">ورجلٌ رَبَطَها تَغَنِّيًا وتَعَفُّفًا، ثمَّ لم يَنسَ حَقَّ الله في رِقابِها ولا ظُهُورِها، فهي لذلكَ سِتْرٌ.  </w:t>
      </w:r>
      <w:r>
        <w:rPr>
          <w:color w:val="FF0000"/>
          <w:rtl w:val="1"/>
        </w:rPr>
        <w:t xml:space="preserve">ورجلٌ رَبَطَها فَخْرًا ورِياءً ونِواءً لأهلِ الإسلامِ، فهي على ذلكَ وِزْرٌ». </w:t>
      </w:r>
      <w:r>
        <w:rPr>
          <w:color w:val="FF0000"/>
          <w:rtl w:val="1"/>
        </w:rPr>
        <w:t xml:space="preserve">وسُئِلَ رسولُ الله ﷺ عن الحُمُرِ فقال: «ما أُنزِلَ عليَّ فيها شيءٌ، إلا هذه الآيةُ الجامِعةُ الفاذّةُ:  </w:t>
      </w:r>
      <w:r>
        <w:rPr>
          <w:color w:val="000000"/>
          <w:rtl w:val="1"/>
        </w:rPr>
        <w:t xml:space="preserve">﴿فَمَنْ يَعْمَلْ مِثْقَالَ ذَرَّةٍ خَيْرًا يَرَهُ (7) وَمَنْ يَعْمَلْ مِثْقَالَ ذَرَّةٍ شَرًّا يَرَهُ﴾ [الزلزلة: 7 - 8].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مشروعية الزينة والاعتدال فيها - الزينة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ثانياً: تقوى الله في الأقوال والأفعال لأنه سيسأل عنها يوم القيامة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