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3550 — الرقم الفرعي: 99 — الرقم الأصلي: 3550</w:t>
        <w:br/>
      </w:r>
      <w:r>
        <w:rPr>
          <w:rtl w:val="1"/>
        </w:rPr>
        <w:t xml:space="preserve"> حدثنا أبو نُعيم حدثنا همّام عن قتادة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أنسًا: هل خَضَبَ النّبيُّ ﷺ؟  </w:t>
      </w:r>
      <w:r>
        <w:rPr>
          <w:color w:val="FF0000"/>
          <w:rtl w:val="1"/>
        </w:rPr>
        <w:t xml:space="preserve">قال: لا، إنَّما كانَ شيءٌ في صُدْغَيه.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ترك الشيب - شعر الرأس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p>
      <w:pPr>
        <w:bidi w:val="1"/>
        <w:jc w:val="start"/>
      </w:pPr>
      <w:r>
        <w:rPr>
          <w:rtl w:val="1"/>
        </w:rPr>
        <w:t>الشرح: الدلالة: مرحلة الكهولة (من جاوز الأربعين وأدركه الشيب إلى سن 50) - مراحل النمو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