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التثبت في الفتنة-كتاب الفتن-سنن ابن ماجة — رقم الحديث: 3962 — الرقم الفرعي: 99 — الرقم الأصلي: 3962</w:t>
        <w:br/>
      </w:r>
      <w:r>
        <w:rPr>
          <w:rtl w:val="1"/>
        </w:rPr>
        <w:t xml:space="preserve"> حدثنا أبو بكر بن أبي شيبة ثنا يزيد بن هارون عن حمّاد بن سلمة عن ثابت ملاحظة أو عليّ بن زيد بن جدعان. شَكّ أبو بكر عن أبي بُردة</w:t>
        <w:br/>
      </w:r>
      <w:r>
        <w:rPr>
          <w:color w:val="000000"/>
          <w:rtl w:val="1"/>
        </w:rPr>
        <w:t xml:space="preserve">قال: دخلتُ على محمّدِ بنِ مَسْلَمةَ، فقال: إنَّ رسولَ الله ﷺ قال:  </w:t>
      </w:r>
      <w:r>
        <w:rPr>
          <w:color w:val="FF0000"/>
          <w:rtl w:val="1"/>
        </w:rPr>
        <w:t xml:space="preserve">«إنّها ستكونُ فِتنةٌ وفُرقةٌ واختِلافٌ،  </w:t>
      </w:r>
      <w:r>
        <w:rPr>
          <w:color w:val="FF0000"/>
          <w:rtl w:val="1"/>
        </w:rPr>
        <w:t xml:space="preserve">فإذا كانَ كذلك، فأتِ بسَيفكَ أُحُدًا، فاضرِبْهُ حتّى يَنقطِع، ثم اجلِسْ في بَيتِكَ حتى تأتيكَ يدٌ خاطِئةٌ، أو مَنيّةٌ قاضِيةٌ»،  </w:t>
      </w:r>
      <w:r>
        <w:rPr>
          <w:color w:val="FF0000"/>
          <w:rtl w:val="1"/>
        </w:rPr>
        <w:t xml:space="preserve">فقد وقَعَتْ، وفعلتُ ما قالَ رسولُ الله ﷺ. </w:t>
      </w:r>
    </w:p>
    <w:p>
      <w:pPr>
        <w:bidi w:val="1"/>
        <w:jc w:val="start"/>
      </w:pPr>
      <w:r>
        <w:rPr>
          <w:rtl w:val="1"/>
        </w:rPr>
        <w:t>درجة الحديث: حسن بمجموع طرقه</w:t>
      </w:r>
    </w:p>
    <w:p>
      <w:pPr>
        <w:bidi w:val="1"/>
        <w:jc w:val="start"/>
      </w:pPr>
      <w:r>
        <w:rPr>
          <w:rtl w:val="1"/>
        </w:rPr>
        <w:t>الشرح: الدلالة: العوائق الفكرية</w:t>
      </w:r>
    </w:p>
    <w:p>
      <w:pPr>
        <w:bidi w:val="1"/>
        <w:jc w:val="start"/>
      </w:pPr>
      <w:r>
        <w:rPr>
          <w:rtl w:val="1"/>
        </w:rPr>
        <w:t>الشرح: الدلالة: الاختلاف والفرقة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السماع - طرق تحمل الحديث</w:t>
      </w:r>
    </w:p>
    <w:p>
      <w:pPr>
        <w:bidi w:val="1"/>
        <w:jc w:val="start"/>
      </w:pPr>
      <w:r>
        <w:rPr>
          <w:rtl w:val="1"/>
        </w:rPr>
        <w:t>الشرح: الدلالة: المطلب الأول: الفتنة في عهد الخلفاء عثمان وعلي وتنازل الحسن عن الخلافة - فتن الحكم في أواخر عهد الخلافة الراشدة وما بعده</w:t>
      </w:r>
    </w:p>
    <w:p>
      <w:pPr>
        <w:bidi w:val="1"/>
        <w:jc w:val="start"/>
      </w:pPr>
      <w:r>
        <w:rPr>
          <w:rtl w:val="1"/>
        </w:rPr>
        <w:t>الشرح: الدلالة: المبحث الأول: الفرقة والاختلاف بين المسلمين والاقتتال فيما بينهم - الـفـتـن المتعلقة بالقتال والملاحم</w:t>
      </w:r>
    </w:p>
    <w:p>
      <w:pPr>
        <w:bidi w:val="1"/>
        <w:jc w:val="start"/>
      </w:pPr>
      <w:r>
        <w:rPr>
          <w:rtl w:val="1"/>
        </w:rPr>
        <w:t>الشرح: الدلالة: إخباره عن بعض الغيبيات وقد وقعت كما أخبر - دلائل نبوته عليه السلام ومعجزاته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