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الحراسة في الغزو في سبيل الله-كتاب الجهاد والسير-صحيح البخاري — رقم الحديث: 2887 — الرقم الفرعي: 99 — الرقم الأصلي: 2887</w:t>
        <w:br/>
      </w:r>
      <w:r>
        <w:rPr>
          <w:rtl w:val="1"/>
        </w:rPr>
        <w:t xml:space="preserve"> وزادنا عمرو قال: أخبرنا عبد الرحمن بن عبد الله بن دينار عن أبيه عن أبي صالح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«تَعِسَ عبدُ الدِّينارِ وعبدُ الدِّرْهَمِ وعبدُ الخَمِيصةِ، إنْ أُعْطِيَ رَضِيَ، وإنْ لم يُعْطَ سَخِطَ، تَعِسَ وانتَكَسَ، وإذا شِيكَ فلا انتَقَشَ.  </w:t>
      </w:r>
      <w:r>
        <w:rPr>
          <w:color w:val="FF0000"/>
          <w:rtl w:val="1"/>
        </w:rPr>
        <w:t xml:space="preserve">طُوبَى لعَبْدٍ آخِذٍ بعِنانِ فَرَسِه في سبيلِ الله، أشْعَثَ رأسُه، مُغْبَرّةٍ قَدَماه،  </w:t>
      </w:r>
      <w:r>
        <w:rPr>
          <w:color w:val="FF0000"/>
          <w:rtl w:val="1"/>
        </w:rPr>
        <w:t xml:space="preserve">إنْ كانَ في الحِراسةِ كانَ في الحِراسةِ،  </w:t>
      </w:r>
      <w:r>
        <w:rPr>
          <w:color w:val="FF0000"/>
          <w:rtl w:val="1"/>
        </w:rPr>
        <w:t xml:space="preserve">وإنْ كانَ في السّاقةِ كانَ في السّاقةِ،  </w:t>
      </w:r>
      <w:r>
        <w:rPr>
          <w:color w:val="FF0000"/>
          <w:rtl w:val="1"/>
        </w:rPr>
        <w:t xml:space="preserve">إنِ استأْذَنَ لم يُؤذَنْ له، وإنْ شَفَعَ لم يُشَفَّعْ».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