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الركعتين إذا جاء الرجل والإمام يخطب-أبواب الصلاة-سنن الترمذي — رقم الحديث: 511 — الرقم الفرعي: 1 — الرقم الأصلي: 511</w:t>
        <w:br/>
      </w:r>
      <w:r>
        <w:rPr>
          <w:rtl w:val="1"/>
        </w:rPr>
        <w:t xml:space="preserve"> حدثنا محمد بن أبي عمر حدثنا سفيان بن عيينة عن محمد بن عجلان عن عياض بن عبد الله بن أبي سرح</w:t>
        <w:br/>
      </w:r>
      <w:r>
        <w:rPr>
          <w:color w:val="FF0000"/>
          <w:rtl w:val="1"/>
        </w:rPr>
        <w:t xml:space="preserve">أنَّ أبا سَعيدٍ الخُدْريِّ دَخلَ يَومَ الجُمُعةِ، ومَروانُ يَخطُبُ، فقامَ يُصلِّي،  </w:t>
      </w:r>
      <w:r>
        <w:rPr>
          <w:color w:val="000000"/>
          <w:rtl w:val="1"/>
        </w:rPr>
        <w:t xml:space="preserve">فجاءَ الحَرَسُ ليُجْلِسُوه، فأَبَى حتى صَلَّى،  </w:t>
      </w:r>
      <w:r>
        <w:rPr>
          <w:color w:val="000000"/>
          <w:rtl w:val="1"/>
        </w:rPr>
        <w:t xml:space="preserve">فلمَّا انصَرَفَ أَتيناهُ فقُلنا: رَحِمَكَ الله، إن كادُوا لَيَقعُوا بك،  </w:t>
      </w:r>
      <w:r>
        <w:rPr>
          <w:color w:val="FF0000"/>
          <w:rtl w:val="1"/>
        </w:rPr>
        <w:t xml:space="preserve">فقال: ما كنتُ لأترُكُهما بعدَ شيءٍ رأيتُه مِن رَسولِ الله ﷺ،  </w:t>
      </w:r>
      <w:r>
        <w:rPr>
          <w:color w:val="FF0000"/>
          <w:rtl w:val="1"/>
        </w:rPr>
        <w:t xml:space="preserve">ثم ذَكرَ أنَّ رَجلًا جاءَ يومَ الجُمُعة في هَيئةٍ بَذَّة، والنّبيُّ ﷺ يَخطُبُ يومَ الجُمُعة، فأَمَره، فصَلَّى رَكعَتَين، والنّبيُّ ﷺ يَخطُب. </w:t>
      </w:r>
      <w:r>
        <w:rPr>
          <w:color w:val="000000"/>
          <w:rtl w:val="1"/>
        </w:rPr>
        <w:t xml:space="preserve">قال ابنُ أبي عُمر: كان ابنُ عُيينةَ يُصلِّي رَكعتَينِ إذا جاءَ والإمامُ يَخطُبُ، ويأمرُ به، وكان أبو عبدِ الرَّحمن المُقرِئُ يَراه. </w:t>
      </w:r>
      <w:r>
        <w:rPr>
          <w:color w:val="000000"/>
          <w:rtl w:val="1"/>
        </w:rPr>
        <w:t xml:space="preserve">قال أَبو عيسى: وسَمِعتُ ابنَ أَبي عُمرَ يقول: قالَ ابنُ عُيينةَ: كان محمدُ بنُ عَجلانَ ثقةً مأمونًا في الحديث. </w:t>
      </w:r>
      <w:r>
        <w:rPr>
          <w:color w:val="000000"/>
          <w:rtl w:val="1"/>
        </w:rPr>
        <w:t xml:space="preserve">وفي الباب، عن جابرٍ، وأبي هُريرةَ، وسَهلِ بن سَعد. </w:t>
      </w:r>
      <w:r>
        <w:rPr>
          <w:color w:val="000000"/>
          <w:rtl w:val="1"/>
        </w:rPr>
        <w:t xml:space="preserve">حديثُ أَبي سَعيدٍ الخُدْريّ حديثٌ حسنٌ صَحيح. </w:t>
      </w:r>
      <w:r>
        <w:rPr>
          <w:color w:val="000000"/>
          <w:rtl w:val="1"/>
        </w:rPr>
        <w:t xml:space="preserve">والعملُ على هذا عندَ بعضِ أَهل العِلم، وبه يقولُ الشّافعيُّ، وأحمدُ، وإسحاقُ.  </w:t>
      </w:r>
      <w:r>
        <w:rPr>
          <w:color w:val="000000"/>
          <w:rtl w:val="1"/>
        </w:rPr>
        <w:t xml:space="preserve">وقال بعضُهم: إذا دَخلَ والإمامُ يَخطُب فإنّه يَجلِسُ ولا يُصلِّي، وهو قولُ سُفيانَ الثّوريِّ، وأَهلِ الكوفة، والقولُ الأوّلُ أَصحّ.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صلاة تحية المسجد - النوافل بسبب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