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19772 — الرقم الفرعي: 99 — الرقم الأصلي: 19772 — ج: 4 — ص: 420</w:t>
        <w:br/>
      </w:r>
      <w:r>
        <w:rPr>
          <w:rtl w:val="1"/>
        </w:rPr>
        <w:t xml:space="preserve"> حدثنا يونس ثنا أبو الأشهب عن عليّ بن الحكم عن أبي برزة الأسلميّ قال: قال أبو الأشهب</w:t>
        <w:br/>
      </w:r>
      <w:r>
        <w:rPr>
          <w:color w:val="000000"/>
          <w:rtl w:val="1"/>
        </w:rPr>
        <w:t xml:space="preserve">لا أَعلَمُه إلّا عن النّبيِّ ﷺ قال:  </w:t>
      </w:r>
      <w:r>
        <w:rPr>
          <w:color w:val="FF0000"/>
          <w:rtl w:val="1"/>
        </w:rPr>
        <w:t xml:space="preserve">«إنَّ ممّا أَخشَى عليكُم شَهَواتِ الغَيِّ في بُطونِكُم وفُروجِكُم، ومُضِلّاتِ الفِتَن».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المبحث الثالث: ما يقع من فتنة النساء والفواحش ومنكرات الطعام والشراب واللباس والزينة - الفتن المتعلقة بالأخلاق والسلوك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