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قضاء الصيام عن الميت-كتاب الصيام-صحيح مسلم — رقم الحديث: 1149 — الرقم الفرعي: 1 — الرقم الأصلي: 1149</w:t>
        <w:br/>
      </w:r>
      <w:r>
        <w:rPr>
          <w:rtl w:val="1"/>
        </w:rPr>
        <w:t xml:space="preserve"> وحدثني عليّ بن حُجْر السعديّ حدثنا عليّ بن مُسْهِر،أبو الحسن عن عبد الله بن عطاء عن عبد الله بن بُرَيدة عن أبيه رضي الله عنه</w:t>
        <w:br/>
      </w:r>
      <w:r>
        <w:rPr>
          <w:color w:val="000000"/>
          <w:rtl w:val="1"/>
        </w:rPr>
        <w:t xml:space="preserve">قال: بينا أنا جالِسٌ عندَ رَسولِ الله ﷺ،  </w:t>
      </w:r>
      <w:r>
        <w:rPr>
          <w:color w:val="FF0000"/>
          <w:rtl w:val="1"/>
        </w:rPr>
        <w:t xml:space="preserve">إذ أَتتهُ امرأةٌ فقالت: إنِّي تصدَّقتُ على أُمِّي بجاريةٍ، وإنَّها ماتت، قال: فقال: «وَجَبَ أَجرُكِ، ورَدَّها عليكِ المِيراث»،  </w:t>
      </w:r>
      <w:r>
        <w:rPr>
          <w:color w:val="FF0000"/>
          <w:rtl w:val="1"/>
        </w:rPr>
        <w:t xml:space="preserve">قالت: يا رسولَ الله، إنّه كانَ عليها صَومُ شهرٍ، أَفأَصومُ عنها؟ قال: «صُومي عنها»،  </w:t>
      </w:r>
      <w:r>
        <w:rPr>
          <w:color w:val="FF0000"/>
          <w:rtl w:val="1"/>
        </w:rPr>
        <w:t xml:space="preserve">قالت: إنّها لم تَحُجَّ قطُّ، أَفأَحُجُّ عنها؟ قال: «حُجِّي عنها».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الصوم 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الحج  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الميراث والوصايا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قيمة الوفاء بالواجبات اللازمة على الوالدين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