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لا قطع فيه-كتاب الحدود-سنن أبي داود — رقم الحديث: 4388 — الرقم الفرعي: 99 — الرقم الأصلي: 4388</w:t>
        <w:br/>
      </w:r>
      <w:r>
        <w:rPr>
          <w:rtl w:val="1"/>
        </w:rPr>
        <w:t xml:space="preserve"> حدثنا عبد الله بن مسلمة عن مالك بن أنس عن يحيى بن سعيد عن محمد بن يحيى بن حبان</w:t>
        <w:br/>
      </w:r>
      <w:r>
        <w:rPr>
          <w:color w:val="000000"/>
          <w:rtl w:val="1"/>
        </w:rPr>
        <w:t xml:space="preserve">أن عبدًا سَرقَ ودِيًّا من حائطِ رجُلٍ فغرسَه في حائط سيِّدهِ،  </w:t>
      </w:r>
      <w:r>
        <w:rPr>
          <w:color w:val="000000"/>
          <w:rtl w:val="1"/>
        </w:rPr>
        <w:t xml:space="preserve">فخرج صاحبُ الوديِّ يلتمِسُ وديَّهُ فوجدَه،  </w:t>
      </w:r>
      <w:r>
        <w:rPr>
          <w:color w:val="000000"/>
          <w:rtl w:val="1"/>
        </w:rPr>
        <w:t xml:space="preserve">فاستعدَى على العبدِ مروانَ بنَ الحَكَم وهو أميرُ المدينةِ يومئذٍ، فسَجنَ مروانُ العبدَ، وأراد قطعَ يدِه،  </w:t>
      </w:r>
      <w:r>
        <w:rPr>
          <w:color w:val="000000"/>
          <w:rtl w:val="1"/>
        </w:rPr>
        <w:t xml:space="preserve">فانطلق سيِّدُ العبد إلى رافع بنِ خَديج، فسأله عن ذلك،  </w:t>
      </w:r>
      <w:r>
        <w:rPr>
          <w:color w:val="000000"/>
          <w:rtl w:val="1"/>
        </w:rPr>
        <w:t xml:space="preserve">فأخبره أنه سَمِعَ رسولَ الله ﷺ يقول: «لا قَطعَ في ثَمرٍ ولا كَثَرٍ»،  </w:t>
      </w:r>
      <w:r>
        <w:rPr>
          <w:color w:val="000000"/>
          <w:rtl w:val="1"/>
        </w:rPr>
        <w:t xml:space="preserve">فقال الرجلُ: إن مروان أخذَ غُلامِي وهو يريدُ قطعَ يدِه، وأنا أحبُّ أن تمشيَ معي إليه فتُخبِرَه بالذي سمعتَ مِن رسول الله ﷺ،  </w:t>
      </w:r>
      <w:r>
        <w:rPr>
          <w:color w:val="000000"/>
          <w:rtl w:val="1"/>
        </w:rPr>
        <w:t xml:space="preserve">فمشى معَه رافعُ بنُ خديجٍ حتى أتى مروان بن الحكم، فقال له رافعٌ: سمعتُ رسولَ الله ﷺ يقول:  </w:t>
      </w:r>
      <w:r>
        <w:rPr>
          <w:color w:val="000000"/>
          <w:rtl w:val="1"/>
        </w:rPr>
        <w:t xml:space="preserve">«لا قطعَ في ثَمَرٍ ولا كثَر»  </w:t>
      </w:r>
      <w:r>
        <w:rPr>
          <w:color w:val="000000"/>
          <w:rtl w:val="1"/>
        </w:rPr>
        <w:t xml:space="preserve">فأمر مروان بالعبدِ فأُرسِل. </w:t>
      </w:r>
      <w:r>
        <w:rPr>
          <w:color w:val="000000"/>
          <w:rtl w:val="1"/>
        </w:rPr>
        <w:t xml:space="preserve">قال أبو داود: الكَثَر: الجُمّار.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السرقة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شروط جريمة السرقة - السرقة</w:t>
      </w:r>
    </w:p>
    <w:p>
      <w:pPr>
        <w:bidi w:val="1"/>
        <w:jc w:val="start"/>
      </w:pPr>
      <w:r>
        <w:rPr>
          <w:rtl w:val="1"/>
        </w:rPr>
        <w:t>الشرح: الدلالة: موانع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عقوبة العبد والأمَة - عقوبة الزنا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