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السير وحده-كتاب الجهاد والسير-صحيح البخاري — رقم الحديث: 2998 — الرقم الفرعي: 99 — الرقم الأصلي: 2998</w:t>
        <w:br/>
      </w:r>
      <w:r>
        <w:rPr>
          <w:rtl w:val="1"/>
        </w:rPr>
        <w:t xml:space="preserve"> حدثنا أبو الوليد حدثنا عاصم بن محمد قال:حدثني أبي عن ابن عمر رضي الله عنهما عن النبيّ صلى الله عليه وسلم سند آخر   حدثنا أبونُعيم حدثنا عاصم بن محمد بن زيد بن عبد الله بن عمر عن أبيه عن ابن عمر عن النبي صلى الله عليه وسلم،</w:t>
        <w:br/>
      </w:r>
      <w:r>
        <w:rPr>
          <w:color w:val="000000"/>
          <w:rtl w:val="1"/>
        </w:rPr>
        <w:t xml:space="preserve">قال:  </w:t>
      </w:r>
      <w:r>
        <w:rPr>
          <w:color w:val="FF0000"/>
          <w:rtl w:val="1"/>
        </w:rPr>
        <w:t xml:space="preserve">«لو يَعلَمُ النّاسُ ما في الوَحْدةِ ما أعلَمُ، ما سارَ راكِبٌ بلَيلٍ وحدَه». </w:t>
      </w:r>
    </w:p>
    <w:p>
      <w:pPr>
        <w:bidi w:val="1"/>
        <w:jc w:val="start"/>
      </w:pPr>
      <w:r>
        <w:rPr>
          <w:rtl w:val="1"/>
        </w:rPr>
        <w:t>الشرح: الدلالة: الأساسيات في الإدارة - الإدارة</w:t>
      </w:r>
    </w:p>
    <w:p>
      <w:pPr>
        <w:bidi w:val="1"/>
        <w:jc w:val="start"/>
      </w:pPr>
      <w:r>
        <w:rPr>
          <w:rtl w:val="1"/>
        </w:rPr>
        <w:t>الشرح: الدلالة: مبادئ الإدارة - الأساسيات في الإدارة</w:t>
      </w:r>
    </w:p>
    <w:p>
      <w:pPr>
        <w:bidi w:val="1"/>
        <w:jc w:val="start"/>
      </w:pPr>
      <w:r>
        <w:rPr>
          <w:rtl w:val="1"/>
        </w:rPr>
        <w:t>الشرح: الدلالة: الاتصال الجمعي الجماهيري ( مع جماعة)</w:t>
      </w:r>
    </w:p>
    <w:p>
      <w:pPr>
        <w:bidi w:val="1"/>
        <w:jc w:val="start"/>
      </w:pPr>
      <w:r>
        <w:rPr>
          <w:rtl w:val="1"/>
        </w:rPr>
        <w:t>الشرح: الدلالة: روح الفريق (الجماعة) - مبادئ الإدارة</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قيمة التعاون في السَّفَر - مظاهر قيمة التعاون</w:t>
      </w:r>
    </w:p>
    <w:p>
      <w:pPr>
        <w:bidi w:val="1"/>
        <w:jc w:val="start"/>
      </w:pPr>
      <w:r>
        <w:rPr>
          <w:rtl w:val="1"/>
        </w:rPr>
        <w:t>الشرح: الدلالة: الوقاية من الحوادث - الوقاية من الأمراض</w:t>
      </w:r>
    </w:p>
    <w:p>
      <w:pPr>
        <w:bidi w:val="1"/>
        <w:jc w:val="start"/>
      </w:pPr>
      <w:r>
        <w:rPr>
          <w:rtl w:val="1"/>
        </w:rPr>
        <w:t>الشرح: الدلالة: الوقاية من الجنّ - الوقاية من المؤثرات الخفية</w:t>
      </w:r>
    </w:p>
    <w:p>
      <w:pPr>
        <w:bidi w:val="1"/>
        <w:jc w:val="start"/>
      </w:pPr>
      <w:r>
        <w:rPr>
          <w:rtl w:val="1"/>
        </w:rPr>
        <w:t>الشرح: الدلالة: الصحة النفسية والعقلية - مبادئ التعلم وشروطه</w:t>
      </w:r>
    </w:p>
    <w:p>
      <w:pPr>
        <w:bidi w:val="1"/>
        <w:jc w:val="start"/>
      </w:pPr>
      <w:r>
        <w:rPr>
          <w:rtl w:val="1"/>
        </w:rPr>
        <w:t>الشرح: الدلالة: الحاجة إلى الانتماء للجماعة - حاجات المتعلمين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