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تحت كلّ شعرةٍ جنابة-كتاب الطهارة وسننها-سنن ابن ماجة — رقم الحديث: 598 — الرقم الفرعي: 99 — الرقم الأصلي: 598</w:t>
        <w:br/>
      </w:r>
      <w:r>
        <w:rPr>
          <w:rtl w:val="1"/>
        </w:rPr>
        <w:t xml:space="preserve"> حدثنا هشام بن عمّار ثنا يحيى بن حمزة حدثني عُتبة بن أبي حكيم حدثني طلحة بن نافع حدثني أبو أيوب الأنصاريّ أنّ النبيّ صلى الله عليه وسلم</w:t>
        <w:br/>
      </w:r>
      <w:r>
        <w:rPr>
          <w:color w:val="FF0000"/>
          <w:rtl w:val="1"/>
        </w:rPr>
        <w:t xml:space="preserve">قال: «الصَّلواتُ الخَمسُ، </w:t>
      </w:r>
      <w:r>
        <w:rPr>
          <w:color w:val="FF0000"/>
          <w:rtl w:val="1"/>
        </w:rPr>
        <w:t xml:space="preserve">والجُمُعَةِ إلى الجُمُعَة، </w:t>
      </w:r>
      <w:r>
        <w:rPr>
          <w:color w:val="FF0000"/>
          <w:rtl w:val="1"/>
        </w:rPr>
        <w:t xml:space="preserve">وأداءُ الأَمانةِ، </w:t>
      </w:r>
      <w:r>
        <w:rPr>
          <w:color w:val="FF0000"/>
          <w:rtl w:val="1"/>
        </w:rPr>
        <w:t xml:space="preserve">كفَّارةٌ لِمَا بينَها»، </w:t>
      </w:r>
      <w:r>
        <w:rPr>
          <w:color w:val="FF0000"/>
          <w:rtl w:val="1"/>
        </w:rPr>
        <w:t xml:space="preserve">قلتُ: وما أَداءُ الأَمانَة؟ قال: «غُسْلُ الجَنَابةِ، فإنَّ تحتَ كُلِّ شَعَرةٍ جَنَابة».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الغسل. - الغسل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