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الجنب يأكل ويشرب-كتاب الطهارة وسننها-سنن ابن ماجة — رقم الحديث: 592 — الرقم الفرعي: 99 — الرقم الأصلي: 592</w:t>
        <w:br/>
      </w:r>
      <w:r>
        <w:rPr>
          <w:rtl w:val="1"/>
        </w:rPr>
        <w:t xml:space="preserve"> حدثنا محمد بن عمر بن هيّاج ثنا إسماعيل بن صُبيح ثنا أبو أُويس عن شرحبيل بن سعد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سُئلَ النّبيُّ ﷺ عن الجُنُب: هل يَنامُ أو يأكلُ أو يَشرَب؟  </w:t>
      </w:r>
      <w:r>
        <w:rPr>
          <w:color w:val="FF0000"/>
          <w:rtl w:val="1"/>
        </w:rPr>
        <w:t xml:space="preserve">قال: «نَعم، إذا تَوضّأ وُضوءَه للصّلاة».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الوضوء قبل النوم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الوضوء للجنب وقبل الاغتسال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