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الاستنجاء بالماء-كتاب الطهارة وسننها-سنن ابن ماجة — رقم الحديث: 354 — الرقم الفرعي: 99 — الرقم الأصلي: 354</w:t>
        <w:br/>
      </w:r>
      <w:r>
        <w:rPr>
          <w:rtl w:val="1"/>
        </w:rPr>
        <w:t xml:space="preserve"> حدثنا هنّاد بن السّريّ ثنا أبو الأحوص عن منصور عن إبراهيم عن الأسود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ما رَأيتُ رسولَ الله ﷺ خَرَجَ من غائطٍ قَطُّ إلا مَسَّ ماءً.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النظافة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تطهير اليدين بالماء أو التراب بعد قضاء الحاجة - واجبات قضاء الحاجة</w:t>
      </w:r>
    </w:p>
    <w:p>
      <w:pPr>
        <w:bidi w:val="1"/>
        <w:jc w:val="start"/>
      </w:pPr>
      <w:r>
        <w:rPr>
          <w:rtl w:val="1"/>
        </w:rPr>
        <w:t>الشرح: الدلالة: نظافة البدن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خامسًا: قيمة النظافة من البول والغائط - نظافة البدن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