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وقت ركعتي الفجر وذكر الاختلاف على نافع-كتاب قيام الليل وتطوّع النهار-سنن النسائي — رقم الحديث: 1782 — الرقم الفرعي: 99 — الرقم الأصلي: 1782</w:t>
        <w:br/>
      </w:r>
      <w:r>
        <w:rPr>
          <w:rtl w:val="1"/>
        </w:rPr>
        <w:t xml:space="preserve"> أخبرنا أحمد بن نصر قال:حدثنا عمرو بن محمد قال:حدثنا عَثّام بن عليّ قال:حدثنا الأعمش عن حبيب بن أبي ثابت عن سعيد بن جُبير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النّبيُّ ﷺ يُصلِّي رَكعَتَي الفَجْر إذا سَمِعَ الأَذانَ ويُخفِّفُهما.  </w:t>
      </w:r>
      <w:r>
        <w:rPr>
          <w:color w:val="000000"/>
          <w:rtl w:val="1"/>
        </w:rPr>
        <w:t xml:space="preserve">قال أبو عبدِ الرَّحمن: هذا حديثٌ مُنكَر.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المنكر - اختلاف الروايات</w:t>
      </w:r>
    </w:p>
    <w:p>
      <w:pPr>
        <w:bidi w:val="1"/>
        <w:jc w:val="start"/>
      </w:pPr>
      <w:r>
        <w:rPr>
          <w:rtl w:val="1"/>
        </w:rPr>
        <w:t>الشرح: الدلالة: المنكر - المقبول و المردود من الحديث</w:t>
      </w:r>
    </w:p>
    <w:p>
      <w:pPr>
        <w:bidi w:val="1"/>
        <w:jc w:val="start"/>
      </w:pPr>
      <w:r>
        <w:rPr>
          <w:rtl w:val="1"/>
        </w:rPr>
        <w:t>الشرح: الدلالة: مشروعية سنة الفجر - سنة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