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الصرف وبيع الذهب بالورق نقداً-كتاب المساقاة-صحيح مسلم — رقم الحديث: 1587 — الرقم الفرعي: 1 — الرقم الأصلي: 1587</w:t>
        <w:br/>
      </w:r>
      <w:r>
        <w:rPr>
          <w:rtl w:val="1"/>
        </w:rPr>
        <w:t xml:space="preserve"> حدثنا عبيدالله بن عمر القواريريّ حدثنا حمّاد بن زيد عن أيوب عن أبي قِلابة</w:t>
        <w:br/>
      </w:r>
      <w:r>
        <w:rPr>
          <w:color w:val="000000"/>
          <w:rtl w:val="1"/>
        </w:rPr>
        <w:t xml:space="preserve">قال: كنتُ بالشّام في حَلْقةٍ فيها مسلمُ بنُ يَسار، فجاءَ أبو الأَشعَث،  </w:t>
      </w:r>
      <w:r>
        <w:rPr>
          <w:color w:val="000000"/>
          <w:rtl w:val="1"/>
        </w:rPr>
        <w:t xml:space="preserve">قال: قالوا: أبو الأَشعَث، أبو الأَشعَث. فجَلَسَ،  </w:t>
      </w:r>
      <w:r>
        <w:rPr>
          <w:color w:val="000000"/>
          <w:rtl w:val="1"/>
        </w:rPr>
        <w:t xml:space="preserve">فقلتُ له: حدِّثْ أخانا حديثَ عُبادةَ بنِ الصَّامت،  </w:t>
      </w:r>
      <w:r>
        <w:rPr>
          <w:color w:val="FF0000"/>
          <w:rtl w:val="1"/>
        </w:rPr>
        <w:t xml:space="preserve">قال: نعم، غَزَونا غَزاةً وعلى النّاسِ مُعاوية، فغَنِمْنا غنائمَ كثيرةً،  </w:t>
      </w:r>
      <w:r>
        <w:rPr>
          <w:color w:val="FF0000"/>
          <w:rtl w:val="1"/>
        </w:rPr>
        <w:t xml:space="preserve">فكانَ فيما غَنِمْنا آنيةٌ من فضّة، فأَمَرَ معاويةُ رجلًا أن يَبيعَها في أُعطِياتِ الناس، فتسارَعَ النّاسُ في ذلك،  </w:t>
      </w:r>
      <w:r>
        <w:rPr>
          <w:color w:val="FF0000"/>
          <w:rtl w:val="1"/>
        </w:rPr>
        <w:t xml:space="preserve">فبَلَغَ عُبادةَ بنَ الصّامت، فقام، فقال: إنِّي سمعتُ رسولَ الله ﷺ يَنهَى عن بَيعِ الذَّهبِ بالذَّهب، والفِضَّةِ بالفِضَّة، والبُرِّ بالبُرِّ، والشَّعيرِ بالشَّعير، والتَّمرِ بالتَّمر، والمِلحِ بالمِلح، إلّا سَواءً بسَواءٍ، عَيْنًا بعَينٍ، فمَن زادَ أو ازدَادَ، فقد أَربى.  </w:t>
      </w:r>
      <w:r>
        <w:rPr>
          <w:color w:val="FF0000"/>
          <w:rtl w:val="1"/>
        </w:rPr>
        <w:t xml:space="preserve">فرَدَّ الناسُ ما أَخَذُوا.  </w:t>
      </w:r>
      <w:r>
        <w:rPr>
          <w:color w:val="000000"/>
          <w:rtl w:val="1"/>
        </w:rPr>
        <w:t xml:space="preserve">فبَلَغَ ذلك معاويةَ فقامَ خَطيبًا، فقال: ألَا ما باُل رِجالٍ يَتحدَّثونَ عن رسولِ الله ﷺ أَحاديثَ قد كُنّا نَشهدُه ونَصحَبُه فلم نَسمَعْها منه!  </w:t>
      </w:r>
      <w:r>
        <w:rPr>
          <w:color w:val="FF0000"/>
          <w:rtl w:val="1"/>
        </w:rPr>
        <w:t xml:space="preserve">فقامَ عُبادةُ بنُ الصّامتِ فأَعادَ القِصّةَ، ثم قال: لَنُحدِّثَنَّ بما سَمِعْنا من رسولِ الله ﷺ، وإن كَرِهَ معاويةُ - أو قال: وإن رَغِمَ - ما أُبالي أن لا أَصحَبَه في جُندِه ليلةً سوداءَ. </w:t>
      </w:r>
      <w:r>
        <w:rPr>
          <w:color w:val="000000"/>
          <w:rtl w:val="1"/>
        </w:rPr>
        <w:t xml:space="preserve">قال حمّاد: هذا أو نحوه. 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قيمة الشجاعة في تبليغ العلم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النظام في البيوع والصَّرف - النظام في 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