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إذا أسلم الصبي فمات ،هل يصلّى عليه-كتاب الجنائز-صحيح البخاري — رقم الحديث: 1358 — الرقم الفرعي: 99 — الرقم الأصلي: 1358</w:t>
        <w:br/>
      </w:r>
      <w:r>
        <w:rPr>
          <w:rtl w:val="1"/>
        </w:rPr>
        <w:t xml:space="preserve"> حدثنا أبو اليمان أخبرنا شعيب قال: قال ابن شهاب</w:t>
        <w:br/>
      </w:r>
      <w:r>
        <w:rPr>
          <w:color w:val="000000"/>
          <w:rtl w:val="1"/>
        </w:rPr>
        <w:t xml:space="preserve">قال ابنُ شِهَاب:  </w:t>
      </w:r>
      <w:r>
        <w:rPr>
          <w:color w:val="FF0000"/>
          <w:rtl w:val="1"/>
        </w:rPr>
        <w:t xml:space="preserve">يُصلَّى على كلِّ مَوْلُودٍ مُتَوفًّى - وإنْ كان لِغَيَّةٍ - من أجْلِ أنَّه وُلِدَ على فِطْرةِ الإسلامِ، يَدَّعي أبَوَاهُ الإسلامَ أو أبوه خاصّةً،  </w:t>
      </w:r>
      <w:r>
        <w:rPr>
          <w:color w:val="FF0000"/>
          <w:rtl w:val="1"/>
        </w:rPr>
        <w:t xml:space="preserve">وإنْ كانت أمُّه على غيرِ الإسلامِ، إذا استَهَلَّ صارخًا، صُلِّيَ عليه،  </w:t>
      </w:r>
      <w:r>
        <w:rPr>
          <w:color w:val="FF0000"/>
          <w:rtl w:val="1"/>
        </w:rPr>
        <w:t xml:space="preserve">ولا يُصلَّى على مَن لا يَستَهِلُّ من أجْلِ أنَّه سِقْطٌ،  </w:t>
      </w:r>
      <w:r>
        <w:rPr>
          <w:color w:val="000000"/>
          <w:rtl w:val="1"/>
        </w:rPr>
        <w:t xml:space="preserve">فإنَّ أبا هُرَيرةَ، رضي الله عنه، كان يُحدِّثُ: قال النبيُّ ﷺ:  </w:t>
      </w:r>
      <w:r>
        <w:rPr>
          <w:color w:val="FF0000"/>
          <w:rtl w:val="1"/>
        </w:rPr>
        <w:t xml:space="preserve">«ما من مَوْلُودٍ إلا يُولَدُ على الفِطْرةِ، فأبَوَاهُ يُهوِّدانِه، أو يُنصِّرانِه، أو يُمَجِّسانِه،  </w:t>
      </w:r>
      <w:r>
        <w:rPr>
          <w:color w:val="FF0000"/>
          <w:rtl w:val="1"/>
        </w:rPr>
        <w:t xml:space="preserve">كما تُنتَجُ البَهِيمةُ بَهِيمةً جَمْعاءَ، هل تُحِسّونَ فيها من جَدْعاءَ؟».  </w:t>
      </w:r>
      <w:r>
        <w:rPr>
          <w:color w:val="FF0000"/>
          <w:rtl w:val="1"/>
        </w:rPr>
        <w:t xml:space="preserve">ثمَّ يقولُ أبو هُرَيرةَ، رضي الله عنه: ﴿فِطْرَتَ اللَّهِ الَّتِي فَطَرَ النَّاسَ عَلَيْهَا﴾ الآيةَ [الروم: 30].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النصارى</w:t>
      </w:r>
    </w:p>
    <w:p>
      <w:pPr>
        <w:bidi w:val="1"/>
        <w:jc w:val="start"/>
      </w:pPr>
      <w:r>
        <w:rPr>
          <w:rtl w:val="1"/>
        </w:rPr>
        <w:t>الشرح: الدلالة: المجوس</w:t>
      </w:r>
    </w:p>
    <w:p>
      <w:pPr>
        <w:bidi w:val="1"/>
        <w:jc w:val="start"/>
      </w:pPr>
      <w:r>
        <w:rPr>
          <w:rtl w:val="1"/>
        </w:rPr>
        <w:t>الشرح: الدلالة: اعتقادات الشرك - الشرك</w:t>
      </w:r>
    </w:p>
    <w:p>
      <w:pPr>
        <w:bidi w:val="1"/>
        <w:jc w:val="start"/>
      </w:pPr>
      <w:r>
        <w:rPr>
          <w:rtl w:val="1"/>
        </w:rPr>
        <w:t>الشرح: الدلالة: عقائد اليهود - اليهود</w:t>
      </w:r>
    </w:p>
    <w:p>
      <w:pPr>
        <w:bidi w:val="1"/>
        <w:jc w:val="start"/>
      </w:pPr>
      <w:r>
        <w:rPr>
          <w:rtl w:val="1"/>
        </w:rPr>
        <w:t>الشرح: الدلالة: عقائد النصارى - النصارى</w:t>
      </w:r>
    </w:p>
    <w:p>
      <w:pPr>
        <w:bidi w:val="1"/>
        <w:jc w:val="start"/>
      </w:pPr>
      <w:r>
        <w:rPr>
          <w:rtl w:val="1"/>
        </w:rPr>
        <w:t>الشرح: الدلالة: صفات المجوس - المجوس</w:t>
      </w:r>
    </w:p>
    <w:p>
      <w:pPr>
        <w:bidi w:val="1"/>
        <w:jc w:val="start"/>
      </w:pPr>
      <w:r>
        <w:rPr>
          <w:rtl w:val="1"/>
        </w:rPr>
        <w:t>الشرح: الدلالة: عقائد المجوس - المجوس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مراعاة الفطرة الإنسانية - المباديء</w:t>
      </w:r>
    </w:p>
    <w:p>
      <w:pPr>
        <w:bidi w:val="1"/>
        <w:jc w:val="start"/>
      </w:pPr>
      <w:r>
        <w:rPr>
          <w:rtl w:val="1"/>
        </w:rPr>
        <w:t>الشرح: الدلالة: سلطان الجماعة (الأسرة والجيران والحي والقبيلةوالقريةوالمدينة والمجتمع)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الجسم - أبعاد الطبيعة الإنسانية للمتعلم</w:t>
      </w:r>
    </w:p>
    <w:p>
      <w:pPr>
        <w:bidi w:val="1"/>
        <w:jc w:val="start"/>
      </w:pPr>
      <w:r>
        <w:rPr>
          <w:rtl w:val="1"/>
        </w:rPr>
        <w:t>الشرح: الدلالة: مرحلة الطفولة - مراحل النمو</w:t>
      </w:r>
    </w:p>
    <w:p>
      <w:pPr>
        <w:bidi w:val="1"/>
        <w:jc w:val="start"/>
      </w:pPr>
      <w:r>
        <w:rPr>
          <w:rtl w:val="1"/>
        </w:rPr>
        <w:t>الشرح: الدلالة: مراعاة الفروق الفردية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العلوم الغائية (كالعلوم الشرعية ...) - البنية المعرفية</w:t>
      </w:r>
    </w:p>
    <w:p>
      <w:pPr>
        <w:bidi w:val="1"/>
        <w:jc w:val="start"/>
      </w:pPr>
      <w:r>
        <w:rPr>
          <w:rtl w:val="1"/>
        </w:rPr>
        <w:t>الشرح: الدلالة: التربية الإيمانية - الأهداف</w:t>
      </w:r>
    </w:p>
    <w:p>
      <w:pPr>
        <w:bidi w:val="1"/>
        <w:jc w:val="start"/>
      </w:pPr>
      <w:r>
        <w:rPr>
          <w:rtl w:val="1"/>
        </w:rPr>
        <w:t>الشرح: الدلالة: التربية البيئية الوطنية - الأهداف</w:t>
      </w:r>
    </w:p>
    <w:p>
      <w:pPr>
        <w:bidi w:val="1"/>
        <w:jc w:val="start"/>
      </w:pPr>
      <w:r>
        <w:rPr>
          <w:rtl w:val="1"/>
        </w:rPr>
        <w:t>الشرح: الدلالة: العلوم الشرعية والأخلاقية والسلوكية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اللغات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تعديل السلوك - أساليب التقويم</w:t>
      </w:r>
    </w:p>
    <w:p>
      <w:pPr>
        <w:bidi w:val="1"/>
        <w:jc w:val="start"/>
      </w:pPr>
      <w:r>
        <w:rPr>
          <w:rtl w:val="1"/>
        </w:rPr>
        <w:t>الشرح: الدلالة: الصلاة على السقط - مشروعية صلاة الجنازة</w:t>
      </w:r>
    </w:p>
    <w:p>
      <w:pPr>
        <w:bidi w:val="1"/>
        <w:jc w:val="start"/>
      </w:pPr>
      <w:r>
        <w:rPr>
          <w:rtl w:val="1"/>
        </w:rPr>
        <w:t>الشرح: الدلالة: الصلاة على الصبي - مشروعية صلاة الجنازة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