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25255 — الرقم الفرعي: 99 — الرقم الأصلي: 25255 — ج: 6 — ص: 159</w:t>
        <w:br/>
      </w:r>
      <w:r>
        <w:rPr>
          <w:rtl w:val="1"/>
        </w:rPr>
        <w:t xml:space="preserve"> حدثنا عبد الله حدثني أبي ثنا أبو عامر ثنا هشام ملاحظة ابن سعد عن عثمان بن عمرو بن هانىء عن عاصم بن عمر بن عثمان عن عروة عن عائشة</w:t>
        <w:br/>
      </w:r>
      <w:r>
        <w:rPr>
          <w:color w:val="FF0000"/>
          <w:rtl w:val="1"/>
        </w:rPr>
        <w:t xml:space="preserve">قالت: دخلَ عليَّ رسولُ الله ﷺ، فعرَفتُ في وَجهِه أن قد حَفَزَه شيءٌ،  </w:t>
      </w:r>
      <w:r>
        <w:rPr>
          <w:color w:val="000000"/>
          <w:rtl w:val="1"/>
        </w:rPr>
        <w:t xml:space="preserve">فتوضّأَ، ثم خَرَجَ فلم يُكَلِّم أَحدًا، فدَنوتُ مِن الحُجُرات،  </w:t>
      </w:r>
      <w:r>
        <w:rPr>
          <w:color w:val="000000"/>
          <w:rtl w:val="1"/>
        </w:rPr>
        <w:t xml:space="preserve">فسمعتُه يقول: «يا أيُّها الناس، إنَّ الله عزّ وجلّ يقول: مُروا بالمعروف وانْهَوا عن المُنكر مِن قَبلِ أن تَدْعُوني فلا أُجِيبَكم، وتَسألُوني فلا أُعْطِيَكُم، وتَستَنصِرُوني فلا أُنصُرَكم».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ترك الجهاد والأمر بالمعروف والنهي عن المنكر #####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عند الفتن #####</w:t>
      </w:r>
    </w:p>
    <w:p>
      <w:pPr>
        <w:bidi w:val="1"/>
        <w:jc w:val="start"/>
      </w:pPr>
      <w:r>
        <w:rPr>
          <w:rtl w:val="1"/>
        </w:rPr>
        <w:t xml:space="preserve">الشرح: الدلالة: غضبه ﷺ في الخطبة والموعظة - غضب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