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132 — الرقم الفرعي: 99 — الرقم الأصلي: 132</w:t>
        <w:br/>
      </w:r>
      <w:r>
        <w:rPr>
          <w:rtl w:val="1"/>
        </w:rPr>
        <w:t xml:space="preserve"> حدثنا عفّان حدثنا حمّاد أخبرنا عمّار بن أبي عمّار أنّ عمر بن الخطاب قال:إن رسول الله صلى الله عليه وسلم</w:t>
        <w:br/>
      </w:r>
      <w:r>
        <w:rPr>
          <w:color w:val="000000"/>
          <w:rtl w:val="1"/>
        </w:rPr>
        <w:t xml:space="preserve">رَأَى فِي يَدِ رَجُلٍ خَاتَمًا مِنْ ذَهبٍ، فَقَالَ: «أَلْقِ ذا» فأَلقَاهُ، فتَختَّمَ بخَاتَمٍ مِنْ حَدِيدٍ، فَقَالَ: «ذَا شَرٌّ مِنْهُ » فتَختَّمَ بِخَاتَمٍ مِنْ فِضَّةٍ، فَسَكتَ عَنْهُ.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ما يحل التختم به وما لا يحل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