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11217 — الرقم الفرعي: 99 — الرقم الأصلي: 11217</w:t>
        <w:br/>
      </w:r>
      <w:r>
        <w:rPr>
          <w:rtl w:val="1"/>
        </w:rPr>
        <w:t xml:space="preserve"> حدثنا عبد الله حدثني أبي ثنا سويد بن عمرو الكلبيّ ثنا أبان ثنا قتادة عن عبد الله بن أبي عتبة عن أبي سعيد قال:قال رسول الله،صلى الله عليه وسلم</w:t>
        <w:br/>
      </w:r>
      <w:r>
        <w:rPr>
          <w:color w:val="FF0000"/>
          <w:rtl w:val="1"/>
        </w:rPr>
        <w:t xml:space="preserve">«ليُحَجَّنَّ البَيتُ ولَيُعتَمَرَنَّ بعدَ خُروجِ يأجُوجَ ومأجُوج».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الفصل الثاني: بشائر انتصار الإسلام وتمكينه في الأرض - البشائر في انتصار الإسلام وتمكينه وقيام الخلافة الراشدة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