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الملامسة والمنابذة-كتاب البيوع-سنن الترمذي — رقم الحديث: 1310 — الرقم الفرعي: 99 — الرقم الأصلي: 1310</w:t>
        <w:br/>
      </w:r>
      <w:r>
        <w:rPr>
          <w:rtl w:val="1"/>
        </w:rPr>
        <w:t xml:space="preserve"> حدثنا أبو كريب و محمود بن غيلان قالا:حدثنا وكيع عن سفيان عن أبي الزنّاد عن الأعرج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بَيعِ المُنابَذةِ والمُلامَسة.  </w:t>
      </w:r>
      <w:r>
        <w:rPr>
          <w:color w:val="000000"/>
          <w:rtl w:val="1"/>
        </w:rPr>
        <w:t xml:space="preserve">وفي البابِ عن أَبي سَعيدٍ وابنِ عُمر.  </w:t>
      </w:r>
      <w:r>
        <w:rPr>
          <w:color w:val="000000"/>
          <w:rtl w:val="1"/>
        </w:rPr>
        <w:t xml:space="preserve">حديثُ أَبي هُريرةَ حديثٌ حسنٌ صحيح.  </w:t>
      </w:r>
      <w:r>
        <w:rPr>
          <w:color w:val="000000"/>
          <w:rtl w:val="1"/>
        </w:rPr>
        <w:t xml:space="preserve">ومعنى هذا الحديث أَن يقول: إذا نَبذتُ إليكَ بالشَّيءِ فقد وَجَبَ البَيعُ بَيني وَبينَك.  </w:t>
      </w:r>
      <w:r>
        <w:rPr>
          <w:color w:val="000000"/>
          <w:rtl w:val="1"/>
        </w:rPr>
        <w:t xml:space="preserve">والمُلامَسةُ: أن يقول: إذا لمَستَ الشيءَ فقد وَجبَ البيعُ،  </w:t>
      </w:r>
      <w:r>
        <w:rPr>
          <w:color w:val="000000"/>
          <w:rtl w:val="1"/>
        </w:rPr>
        <w:t xml:space="preserve">وإن كان لا يَرى منه شيئًا، مثلَ ما يكونُ في الجِراب أو غيرِ ذلك،  </w:t>
      </w:r>
      <w:r>
        <w:rPr>
          <w:color w:val="000000"/>
          <w:rtl w:val="1"/>
        </w:rPr>
        <w:t xml:space="preserve">وإنّما كان هذا من بُيوع أَهل الجاهليّةِ، فنُهي عن ذلك.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