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18998 — الرقم الفرعي: 99 — الرقم الأصلي: 18998 — ج: 4 — ص: 341</w:t>
        <w:br/>
      </w:r>
      <w:r>
        <w:rPr>
          <w:rtl w:val="1"/>
        </w:rPr>
        <w:t xml:space="preserve"> حدثنا هاشم بن القاسم ثنا عكرمة ملاحظة يعني ابن عمّار قال:حدثني طارق بن عبد الرحمن القرشيّ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رافعُ بنُ رِفاعةَ إلى مَجلِس الأنصار، فقال: لقد نَهانا نبيُّ الله ﷺ اليومَ عن شيءٍ كان يَرفُقُ بنا في مَعايِشِنا،  </w:t>
      </w:r>
      <w:r>
        <w:rPr>
          <w:color w:val="FF0000"/>
          <w:rtl w:val="1"/>
        </w:rPr>
        <w:t xml:space="preserve">قال: نَهانا عن كِراءِ الأَرض،  </w:t>
      </w:r>
      <w:r>
        <w:rPr>
          <w:color w:val="FF0000"/>
          <w:rtl w:val="1"/>
        </w:rPr>
        <w:t xml:space="preserve">قال: «مَن كانت له أَرضٌ فليَزرَعها أو ليُزرِعها أَخاه، أو ليَدَعها»،  </w:t>
      </w:r>
      <w:r>
        <w:rPr>
          <w:color w:val="000000"/>
          <w:rtl w:val="1"/>
        </w:rPr>
        <w:t xml:space="preserve">ونَهانا عن كَسْبِ الحجَّام، وأَمرَنا أن نُطعِمَه نَواضِحَنا،  </w:t>
      </w:r>
      <w:r>
        <w:rPr>
          <w:color w:val="000000"/>
          <w:rtl w:val="1"/>
        </w:rPr>
        <w:t xml:space="preserve">ونَهانا عن كَسْبِ الأَمَةِ إلّا ما عمِلَتْ بيَدِها، وقال هكذا بأصابِعِه: نحو الخُبزِ والغَزْل والنَّفْش.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