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من نسي أن يتشهد وهو جالس-كتاب الصلاة-سنن أبي داود — رقم الحديث: 1037 — الرقم الفرعي: 99 — الرقم الأصلي: 1037</w:t>
        <w:br/>
      </w:r>
      <w:r>
        <w:rPr>
          <w:rtl w:val="1"/>
        </w:rPr>
        <w:t xml:space="preserve"> حدثنا عبيدالله بن عمر الجشميّ ثنا يزيد بن هارون أخبرنا المسعوديّ عن زياد بن عِلاقة</w:t>
        <w:br/>
      </w:r>
      <w:r>
        <w:rPr>
          <w:color w:val="000000"/>
          <w:rtl w:val="1"/>
        </w:rPr>
        <w:t xml:space="preserve">قال: </w:t>
      </w:r>
      <w:r>
        <w:rPr>
          <w:color w:val="FF0000"/>
          <w:rtl w:val="1"/>
        </w:rPr>
        <w:t xml:space="preserve">صَلَّى بنا المُغيرةُ بن شُعبةَ فنَهضَ في الرَّكعتَين، قلنا: سُبحانَ الله، قال: سُبحانَ الله، ومَضَى،  </w:t>
      </w:r>
      <w:r>
        <w:rPr>
          <w:color w:val="FF0000"/>
          <w:rtl w:val="1"/>
        </w:rPr>
        <w:t xml:space="preserve">فلمَّا أتمَّ صَلاتَه وسَلّم، سَجَدَ سَجدَتي السَّهوِ،  </w:t>
      </w:r>
      <w:r>
        <w:rPr>
          <w:color w:val="000000"/>
          <w:rtl w:val="1"/>
        </w:rPr>
        <w:t xml:space="preserve">فلمَّا انصَرَفَ قال: رأيتُ رسولَ الله ﷺ يَصنعُ كما صَنَعتُ. </w:t>
      </w:r>
      <w:r>
        <w:rPr>
          <w:color w:val="000000"/>
          <w:rtl w:val="1"/>
        </w:rPr>
        <w:t xml:space="preserve">قال أبو داود: وكذلك رواه ابنُ أَبي ليلى عن الشَّعبي، عن المُغيرةِ بن شعبةَ، ورفعه،  </w:t>
      </w:r>
      <w:r>
        <w:rPr>
          <w:color w:val="000000"/>
          <w:rtl w:val="1"/>
        </w:rPr>
        <w:t xml:space="preserve">ورواه أبو عُميسٍ عن ثابت بن عُبيد قال: صلَّى بنا المغيرةُ بن شعبةَ، مثل حديث زياد بن عِلاقةَ. </w:t>
      </w:r>
      <w:r>
        <w:rPr>
          <w:color w:val="000000"/>
          <w:rtl w:val="1"/>
        </w:rPr>
        <w:t xml:space="preserve">قال أبو داود: أبو عُميس أخو المَسعودي، وفعلَ سعدُ بن أبي وقاص مثل ما فعلَ المغيرةُ بن شعبة، وعمرانُ بن حصين، والضَّحّاكُ بن قيس، ومعاويةُ بن أبي سفيانَ، وابن عبّاس أفتى بذلك، وعمرُ بن عبد العزيز. </w:t>
      </w:r>
      <w:r>
        <w:rPr>
          <w:color w:val="000000"/>
          <w:rtl w:val="1"/>
        </w:rPr>
        <w:t xml:space="preserve">قال أبو داود: وهذا فيمَن قام من ثِنتَين ثم سَجَدوا بعد ما سَلَّموا. </w:t>
      </w:r>
    </w:p>
    <w:p>
      <w:pPr>
        <w:bidi w:val="1"/>
        <w:jc w:val="start"/>
      </w:pPr>
      <w:r>
        <w:rPr>
          <w:rtl w:val="1"/>
        </w:rPr>
        <w:t>درجة الحديث: صحيح / صحيح</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تبليغ العلم ونشره - القيم والأخلاق المحمودة</w:t>
      </w:r>
    </w:p>
    <w:p>
      <w:pPr>
        <w:bidi w:val="1"/>
        <w:jc w:val="start"/>
      </w:pPr>
      <w:r>
        <w:rPr>
          <w:rtl w:val="1"/>
        </w:rPr>
        <w:t>الشرح: الدلالة: أسلوب القدوة</w:t>
      </w:r>
    </w:p>
    <w:p>
      <w:pPr>
        <w:bidi w:val="1"/>
        <w:jc w:val="start"/>
      </w:pPr>
      <w:r>
        <w:rPr>
          <w:rtl w:val="1"/>
        </w:rPr>
        <w:t>الشرح: الدلالة: السهو في الصلاة وأحكامه - السهو في الصلاة</w:t>
      </w:r>
    </w:p>
    <w:p>
      <w:pPr>
        <w:bidi w:val="1"/>
        <w:jc w:val="start"/>
      </w:pPr>
      <w:r>
        <w:rPr>
          <w:rtl w:val="1"/>
        </w:rPr>
        <w:t>الشرح: الدلالة: الاقتداء - أساليب البحث عن المعرفة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