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4614 — الرقم الفرعي: 99 — الرقم الأصلي: 4614</w:t>
        <w:br/>
      </w:r>
      <w:r>
        <w:rPr>
          <w:rtl w:val="1"/>
        </w:rPr>
        <w:t xml:space="preserve"> حدثنا أحمد بن أبي رجاء حدثنا النّضر عن هشام قال:أخبرني أبي عن عائشة،رضي الله عنها</w:t>
        <w:br/>
      </w:r>
      <w:r>
        <w:rPr>
          <w:color w:val="FF0000"/>
          <w:rtl w:val="1"/>
        </w:rPr>
        <w:t xml:space="preserve">أنَّ أباها كان لا يَحْنَثُ في يمينٍ، حتَّى أنزَلَ اللهُ كفَّارةَ اليمينِ. </w:t>
      </w:r>
      <w:r>
        <w:rPr>
          <w:color w:val="FF0000"/>
          <w:rtl w:val="1"/>
        </w:rPr>
        <w:t xml:space="preserve">قال أبو بكرٍ: لا أرَى يميناً أُرَى غيرَها خيراً مِنْها، إلَّا قَبِلْتُ رُخْصةَ الله، وفَعَلْتُ الَّذي هو خيرٌ.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الوفاء باليمين - الأيمان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