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الشرب من الأودية ومقدار حبس الماء-كتاب الرهون-سنن ابن ماجة — رقم الحديث: 2483 — الرقم الفرعي: 99 — الرقم الأصلي: 2483</w:t>
        <w:br/>
      </w:r>
      <w:r>
        <w:rPr>
          <w:rtl w:val="1"/>
        </w:rPr>
        <w:t xml:space="preserve"> حدثنا أبو المُغلّس ثنا فضيل بن سليمان ثنا موسى بن عقبة عن إسحاق بن يحيى بن الوليد عن عبادة بن الصّامت</w:t>
        <w:br/>
      </w:r>
      <w:r>
        <w:rPr>
          <w:color w:val="FF0000"/>
          <w:rtl w:val="1"/>
        </w:rPr>
        <w:t xml:space="preserve">أنّ رسولَ الله ﷺ قضَى في شُربِ النَّخلِ مِن السَّيل: أنَّ الأَعلى فالأَعلى يَشرَبُ قبلَ الأَسفَل، ويُتْرَكُ الماءُ إلى الكَعبَين، ثمَّ يُرسَلُ الماءُ إلى الأَسفَلِ الذي يَليهِ، وكذلك، حتَّى تَنقَضِيَ الحوائطُ، أَو يَفنَى الماء.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جلب المصالح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المصلحة العامة - مبادئ الإدارة</w:t>
      </w:r>
    </w:p>
    <w:p>
      <w:pPr>
        <w:bidi w:val="1"/>
        <w:jc w:val="start"/>
      </w:pPr>
      <w:r>
        <w:rPr>
          <w:rtl w:val="1"/>
        </w:rPr>
        <w:t>الشرح: الدلالة: الموازنة بين المصالح والمفاسد - فقه الأولويات في السياسة الشرعية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