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لم يُخَمّس الأسلاب-كتاب فرض الخمس-صحيح البخاري — رقم الحديث: 3141 — الرقم الفرعي: 99 — الرقم الأصلي: 3141</w:t>
        <w:br/>
      </w:r>
      <w:r>
        <w:rPr>
          <w:rtl w:val="1"/>
        </w:rPr>
        <w:t xml:space="preserve"> حدثنا مُسَدّد حدثنا يوسف بن الماجِشون عن صالح بن إبراهيم بن عبد الرحمن بن عوف عن أبيه عن جدّه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بَيْنا أنا واقِفٌ في الصَّفِّ يومَ بَدْرٍ، فنَظَرْتُ عن يَمِيني وشِمالي فإذا أنا بغلامَينِ منَ الأنصار حديثةٍ أسنانُهما، تَمَنَّيتُ أنْ أكونَ بينَ أضْلَعَ منهما،  </w:t>
      </w:r>
      <w:r>
        <w:rPr>
          <w:color w:val="FF0000"/>
          <w:rtl w:val="1"/>
        </w:rPr>
        <w:t xml:space="preserve">فغَمَزَني أحدُهما فقال: يا عَمِّ هل تَعرِفُ أبا جَهْلٍ؟ قلتُ: نعم، ما حاجَتُكَ إليه يا ابنَ أخي؟ قال: أُخبِرْتُ أنَّه يَسُبُّ رسولَ الله ﷺ، والَّذي نَفْسي بيدِه لَئِنْ رأيتُه لا يُفارقُ سَوَادي سَوادَه حتَّى يموتَ الأعجَلُ مِنّا.  </w:t>
      </w:r>
      <w:r>
        <w:rPr>
          <w:color w:val="FF0000"/>
          <w:rtl w:val="1"/>
        </w:rPr>
        <w:t xml:space="preserve">فتَعَجَّبْتُ لذلكَ، فغَمَزَني الآخرُ فقال لي مِثلَها. </w:t>
      </w:r>
      <w:r>
        <w:rPr>
          <w:color w:val="FF0000"/>
          <w:rtl w:val="1"/>
        </w:rPr>
        <w:t xml:space="preserve">فلم أنشَبْ أنْ نَظَرْتُ إلى أبي جَهْلٍ يَجُولُ في النّاسِ، قلتُ: ألا إنَّ هذا صاحبُكُما الَّذي سألتُماني.  </w:t>
      </w:r>
      <w:r>
        <w:rPr>
          <w:color w:val="FF0000"/>
          <w:rtl w:val="1"/>
        </w:rPr>
        <w:t xml:space="preserve">فابتَدراه بسيفَيهما فضَرَباه حتَّى قَتَلاه،  </w:t>
      </w:r>
      <w:r>
        <w:rPr>
          <w:color w:val="FF0000"/>
          <w:rtl w:val="1"/>
        </w:rPr>
        <w:t xml:space="preserve">ثمَّ انصَرَفا إلى رسولِ الله ﷺ فأخبَراه، فقال: «أيُّكُما قتلَه؟» قال كلُّ واحدٍ منهما: أنا قَتَلْتُه،  </w:t>
      </w:r>
      <w:r>
        <w:rPr>
          <w:color w:val="FF0000"/>
          <w:rtl w:val="1"/>
        </w:rPr>
        <w:t xml:space="preserve">فقال: «هل مَسَحْتُما سيفَيكُما؟» قالا: لا، فنَظَرَ في السَّيفَينِ فقال: «كِلاكُما قتلَه،  </w:t>
      </w:r>
      <w:r>
        <w:rPr>
          <w:color w:val="FF0000"/>
          <w:rtl w:val="1"/>
        </w:rPr>
        <w:t xml:space="preserve">سَلَبُه لمعاذِ بنِ عَمرِو بنِ الجَمُوحِ».  </w:t>
      </w:r>
      <w:r>
        <w:rPr>
          <w:color w:val="FF0000"/>
          <w:rtl w:val="1"/>
        </w:rPr>
        <w:t xml:space="preserve">وكانا مُعاذَ ابنَ عَفْراءَ ومُعاذَ بنَ عَمرِو بنِ الجَمُوحِ. </w:t>
      </w:r>
      <w:r>
        <w:rPr>
          <w:color w:val="000000"/>
          <w:rtl w:val="1"/>
        </w:rPr>
        <w:t xml:space="preserve">قال محمد: سمع يوسف صالحًا، وإبراهيم أباه. </w:t>
      </w:r>
    </w:p>
    <w:p>
      <w:pPr>
        <w:bidi w:val="1"/>
        <w:jc w:val="start"/>
      </w:pPr>
      <w:r>
        <w:rPr>
          <w:rtl w:val="1"/>
        </w:rPr>
        <w:t xml:space="preserve">الشرح: الدلالة: قتل من يسب النبي ﷺ ودمه هدر - في حكم من سبه أو انتقصه ﷺ ... 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سن التجنيد - التجنيد</w:t>
      </w:r>
    </w:p>
    <w:p>
      <w:pPr>
        <w:bidi w:val="1"/>
        <w:jc w:val="start"/>
      </w:pPr>
      <w:r>
        <w:rPr>
          <w:rtl w:val="1"/>
        </w:rPr>
        <w:t>الشرح: الدلالة: السلب للقاتل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