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من قعد حيث ينتهي به المجلس ،ومن رأى فرجة في الحلقة فجلس فيها-كتاب العلم-صحيح البخاري — رقم الحديث: 66 — الرقم الفرعي: 99 — الرقم الأصلي: 66</w:t>
        <w:br/>
      </w:r>
      <w:r>
        <w:rPr>
          <w:rtl w:val="1"/>
        </w:rPr>
        <w:t xml:space="preserve"> حدثنا إسماعيل قال:حدثني مالك عن إسحاق بن عبد الله بن أبي طلحة أنّ أبا مرة، ملاحظة مولى عقيل بن أبي طالب أخبره عن أبي واقد الليثي أنّ رسول الله صلى الله عليه وسلم</w:t>
        <w:br/>
      </w:r>
      <w:r>
        <w:rPr>
          <w:color w:val="FF0000"/>
          <w:rtl w:val="1"/>
        </w:rPr>
        <w:t xml:space="preserve">أنَّ رسولَ الله ﷺ بينَما هو جالسٌ في المسجدِ والنّاسُ معه  </w:t>
      </w:r>
      <w:r>
        <w:rPr>
          <w:color w:val="FF0000"/>
          <w:rtl w:val="1"/>
        </w:rPr>
        <w:t xml:space="preserve">إذْ أقبَلَ ثلاثةُ نَفَرٍ، فأقبَلَ اثنانِ إلى رسولِ الله ﷺ، وذهبَ واحدٌ.  </w:t>
      </w:r>
      <w:r>
        <w:rPr>
          <w:color w:val="FF0000"/>
          <w:rtl w:val="1"/>
        </w:rPr>
        <w:t xml:space="preserve">قال: فوَقَفا على رسولِ الله ﷺ،  </w:t>
      </w:r>
      <w:r>
        <w:rPr>
          <w:color w:val="FF0000"/>
          <w:rtl w:val="1"/>
        </w:rPr>
        <w:t xml:space="preserve">فأمَّا أحدُهما فرأى فُرْجةً في الحَلْقةِ فجَلَسَ فيها،  </w:t>
      </w:r>
      <w:r>
        <w:rPr>
          <w:color w:val="FF0000"/>
          <w:rtl w:val="1"/>
        </w:rPr>
        <w:t xml:space="preserve">وأمَّا الآخرُ فجَلَسَ خَلْفَهُم،  </w:t>
      </w:r>
      <w:r>
        <w:rPr>
          <w:color w:val="FF0000"/>
          <w:rtl w:val="1"/>
        </w:rPr>
        <w:t xml:space="preserve">وأمَّا الثّالثُ فأدبَرَ ذاهبًا،  </w:t>
      </w:r>
      <w:r>
        <w:rPr>
          <w:color w:val="FF0000"/>
          <w:rtl w:val="1"/>
        </w:rPr>
        <w:t xml:space="preserve">فلمّا فَرَغَ رسولُ الله ﷺ قال: «ألَا أُخبِرُكم عن النَّفَرِ الثَّلاثةِ،  </w:t>
      </w:r>
      <w:r>
        <w:rPr>
          <w:color w:val="FF0000"/>
          <w:rtl w:val="1"/>
        </w:rPr>
        <w:t xml:space="preserve">أمَّا أحدُهم فأَوَى إلى الله فآواه اللهُ،  </w:t>
      </w:r>
      <w:r>
        <w:rPr>
          <w:color w:val="FF0000"/>
          <w:rtl w:val="1"/>
        </w:rPr>
        <w:t xml:space="preserve">وأمَّا الآخَرُ فاستَحْيا فاستَحْيا اللهُ منه،  </w:t>
      </w:r>
      <w:r>
        <w:rPr>
          <w:color w:val="FF0000"/>
          <w:rtl w:val="1"/>
        </w:rPr>
        <w:t xml:space="preserve">وأمَّا الآخَرُ فأعرَضَ فأعرَضَ اللهُ عنه». </w:t>
      </w:r>
    </w:p>
    <w:p>
      <w:pPr>
        <w:bidi w:val="1"/>
        <w:jc w:val="start"/>
      </w:pPr>
      <w:r>
        <w:rPr>
          <w:rtl w:val="1"/>
        </w:rPr>
        <w:t>درجة الحديث: صحيح</w:t>
      </w:r>
    </w:p>
    <w:p>
      <w:pPr>
        <w:bidi w:val="1"/>
        <w:jc w:val="start"/>
      </w:pPr>
      <w:r>
        <w:rPr>
          <w:rtl w:val="1"/>
        </w:rPr>
        <w:t>الشرح: الدلالة: فضل الذكر والدعاء بوجه عام - فضل الذكر والدعاء وآدابهما</w:t>
      </w:r>
    </w:p>
    <w:p>
      <w:pPr>
        <w:bidi w:val="1"/>
        <w:jc w:val="start"/>
      </w:pPr>
      <w:r>
        <w:rPr>
          <w:rtl w:val="1"/>
        </w:rPr>
        <w:t>الشرح: الدلالة: المسجد - مؤسسات التربية والتعليم</w:t>
      </w:r>
    </w:p>
    <w:p>
      <w:pPr>
        <w:bidi w:val="1"/>
        <w:jc w:val="start"/>
      </w:pPr>
      <w:r>
        <w:rPr>
          <w:rtl w:val="1"/>
        </w:rPr>
        <w:t>الشرح: الدلالة: آداب الجلوس والمجالس والسلام - الآداب الاجتماعية</w:t>
      </w:r>
    </w:p>
    <w:p>
      <w:pPr>
        <w:bidi w:val="1"/>
        <w:jc w:val="start"/>
      </w:pPr>
      <w:r>
        <w:rPr>
          <w:rtl w:val="1"/>
        </w:rPr>
        <w:t>الشرح: الدلالة: آداب النصيحة - الآداب الاجتماعية</w:t>
      </w:r>
    </w:p>
    <w:p>
      <w:pPr>
        <w:bidi w:val="1"/>
        <w:jc w:val="start"/>
      </w:pPr>
      <w:r>
        <w:rPr>
          <w:rtl w:val="1"/>
        </w:rPr>
        <w:t>الشرح: الدلالة: آداب العالم والمتعلم - الآداب الاجتماعية</w:t>
      </w:r>
    </w:p>
    <w:p>
      <w:pPr>
        <w:bidi w:val="1"/>
        <w:jc w:val="start"/>
      </w:pPr>
      <w:r>
        <w:rPr>
          <w:rtl w:val="1"/>
        </w:rPr>
        <w:t>الشرح: الدلالة: آداب المتعلم - آداب المعلم والمتعلم</w:t>
      </w:r>
    </w:p>
    <w:p>
      <w:pPr>
        <w:bidi w:val="1"/>
        <w:jc w:val="start"/>
      </w:pPr>
      <w:r>
        <w:rPr>
          <w:rtl w:val="1"/>
        </w:rPr>
        <w:t>الشرح: الدلالة: الرعاية الخلقية (يحال إلى القيم والأخلاق والآداب الاجتماعية) - الرعاية الشخصية (رعاية الفرد نفسه)</w:t>
      </w:r>
    </w:p>
    <w:p>
      <w:pPr>
        <w:bidi w:val="1"/>
        <w:jc w:val="start"/>
      </w:pPr>
      <w:r>
        <w:rPr>
          <w:rtl w:val="1"/>
        </w:rPr>
        <w:t>الشرح: الدلالة: التدريس والتعليم</w:t>
      </w:r>
    </w:p>
    <w:p>
      <w:pPr>
        <w:bidi w:val="1"/>
        <w:jc w:val="start"/>
      </w:pPr>
      <w:r>
        <w:rPr>
          <w:rtl w:val="1"/>
        </w:rPr>
        <w:t>الشرح: الدلالة: التعليم</w:t>
      </w:r>
    </w:p>
    <w:p>
      <w:pPr>
        <w:bidi w:val="1"/>
        <w:jc w:val="start"/>
      </w:pPr>
      <w:r>
        <w:rPr>
          <w:rtl w:val="1"/>
        </w:rPr>
        <w:t>الشرح: الدلالة: التعليم في المسجد - وظيفة المسجد</w:t>
      </w:r>
    </w:p>
    <w:p>
      <w:pPr>
        <w:bidi w:val="1"/>
        <w:jc w:val="start"/>
      </w:pPr>
      <w:r>
        <w:rPr>
          <w:rtl w:val="1"/>
        </w:rPr>
        <w:t>الشرح: الدلالة: مراعاة الفروق الفردية</w:t>
      </w:r>
    </w:p>
    <w:p>
      <w:pPr>
        <w:bidi w:val="1"/>
        <w:jc w:val="start"/>
      </w:pPr>
      <w:r>
        <w:rPr>
          <w:rtl w:val="1"/>
        </w:rPr>
        <w:t>الشرح: الدلالة: التربية بمجالسة العلماء والصالحين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اشراك المتعلم في الموقف التعليمي - الأساليب التعليمية</w:t>
      </w:r>
    </w:p>
    <w:p>
      <w:pPr>
        <w:bidi w:val="1"/>
        <w:jc w:val="start"/>
      </w:pPr>
      <w:r>
        <w:rPr>
          <w:rtl w:val="1"/>
        </w:rPr>
        <w:t>الشرح: الدلالة: طلب العلم (يحال إلى النظام التربوي ) - الرعاية العقلية</w:t>
      </w:r>
    </w:p>
    <w:p>
      <w:pPr>
        <w:bidi w:val="1"/>
        <w:jc w:val="start"/>
      </w:pPr>
      <w:r>
        <w:rPr>
          <w:rtl w:val="1"/>
        </w:rPr>
        <w:t>الشرح: الدلالة: التربية والتوجيه (يحال إلى النظام التربوي والأخلاق والآداب الاجتماعية) - رعاية الأخلاق العامة</w:t>
      </w:r>
    </w:p>
    <w:p>
      <w:pPr>
        <w:bidi w:val="1"/>
        <w:jc w:val="start"/>
      </w:pPr>
      <w:r>
        <w:rPr>
          <w:rtl w:val="1"/>
        </w:rPr>
        <w:t>الشرح: الدلالة: قيمة التزام أدب الجلوس في حَلَق العلم - قيم تقدير العِلم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