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4747 — الرقم الفرعي: 99 — الرقم الأصلي: 4747</w:t>
        <w:br/>
      </w:r>
      <w:r>
        <w:rPr>
          <w:rtl w:val="1"/>
        </w:rPr>
        <w:t xml:space="preserve"> حدثني محمد بن بشار حدثنا ابن أبي عَديّ عن هشام بن حسّان حدثنا عِكرمة عن ابن عباس</w:t>
        <w:br/>
      </w:r>
      <w:r>
        <w:rPr>
          <w:color w:val="000000"/>
          <w:rtl w:val="1"/>
        </w:rPr>
        <w:t xml:space="preserve">أنَّ هِلالَ بنَ أُميَّةَ قَذَفَ امرأتَه عندَ النبيِّ ﷺ بشَرِيكِ ابنِ سَحْماءَ،  </w:t>
      </w:r>
      <w:r>
        <w:rPr>
          <w:color w:val="000000"/>
          <w:rtl w:val="1"/>
        </w:rPr>
        <w:t xml:space="preserve">فقال النبيُّ ﷺ: «البَيِّنةَ، أو حَدٌّ في ظَهْرِكَ».  </w:t>
      </w:r>
      <w:r>
        <w:rPr>
          <w:color w:val="000000"/>
          <w:rtl w:val="1"/>
        </w:rPr>
        <w:t xml:space="preserve">فقال: يا رسولَ الله، إذا رأى أحدُنا على امرأتِه رجلاً، يَنطَلِقُ يَلتَمِسُ البَيِّنة؟  </w:t>
      </w:r>
      <w:r>
        <w:rPr>
          <w:color w:val="000000"/>
          <w:rtl w:val="1"/>
        </w:rPr>
        <w:t xml:space="preserve">فَجَعَلَ النبيُّ ﷺ يقولُ: «البَيِّنةَ، وإلَّا حَدٌّ في ظَهْرِكَ».  </w:t>
      </w:r>
      <w:r>
        <w:rPr>
          <w:color w:val="FF0000"/>
          <w:rtl w:val="1"/>
        </w:rPr>
        <w:t xml:space="preserve">فقال هِلال: والَّذي بَعَثَكَ بالحقِّ، إنّي لَصادِقٌ، فلَيُنْزِلَنَّ اللهُ ما يُبَرِّئُ ظَهْري منَ الحَدِّ،  </w:t>
      </w:r>
      <w:r>
        <w:rPr>
          <w:color w:val="FF0000"/>
          <w:rtl w:val="1"/>
        </w:rPr>
        <w:t xml:space="preserve">فنَزَلَ جِبْريلُ وأنزَلَ عليه: ﴿وَالَّذِينَ يَرْمُونَ أَزْوَاجَهُمْ﴾ فقرأ حتَّى بَلَغَ: ﴿إِنْ كَانَ مِنَ الصَّادِقِينَ﴾ [النور:6 - 9]،  </w:t>
      </w:r>
      <w:r>
        <w:rPr>
          <w:color w:val="FF0000"/>
          <w:rtl w:val="1"/>
        </w:rPr>
        <w:t xml:space="preserve">فانصَرَفَ النبيُّ ﷺ، فأرسَلَ إليها،  </w:t>
      </w:r>
      <w:r>
        <w:rPr>
          <w:color w:val="FF0000"/>
          <w:rtl w:val="1"/>
        </w:rPr>
        <w:t xml:space="preserve">فجاءَ هِلالٌ فشَهِدَ،  </w:t>
      </w:r>
      <w:r>
        <w:rPr>
          <w:color w:val="FF0000"/>
          <w:rtl w:val="1"/>
        </w:rPr>
        <w:t xml:space="preserve">والنبيُّ ﷺ يقولُ: «إنَّ اللهَ يَعلَمُ أنَّ أحدَكُما كاذِبٌ، فهل منكما تائبٌ؟».  </w:t>
      </w:r>
      <w:r>
        <w:rPr>
          <w:color w:val="FF0000"/>
          <w:rtl w:val="1"/>
        </w:rPr>
        <w:t xml:space="preserve">ثمَّ قامَتْ فشَهِدَتْ،  </w:t>
      </w:r>
      <w:r>
        <w:rPr>
          <w:color w:val="FF0000"/>
          <w:rtl w:val="1"/>
        </w:rPr>
        <w:t xml:space="preserve">فلمّا كانت عندَ الخامِسةِ وقَّفُوها، وقالوا: إنَّها مُوجِبةٌ. </w:t>
      </w:r>
      <w:r>
        <w:rPr>
          <w:color w:val="FF0000"/>
          <w:rtl w:val="1"/>
        </w:rPr>
        <w:t xml:space="preserve">قال ابنُ عبَّاسٍ: فتَلَكَّأتْ ونَكَصَتْ، حتَّى ظننَّا أنَّها تَرْجِعُ،  </w:t>
      </w:r>
      <w:r>
        <w:rPr>
          <w:color w:val="FF0000"/>
          <w:rtl w:val="1"/>
        </w:rPr>
        <w:t xml:space="preserve">ثمَّ قالت: لا أفضَحُ قومي سائرَ اليومِ، فمَضَتْ،  </w:t>
      </w:r>
      <w:r>
        <w:rPr>
          <w:color w:val="000000"/>
          <w:rtl w:val="1"/>
        </w:rPr>
        <w:t xml:space="preserve">فقال النبيُّ ﷺ: «أَبصِرُوها، فإنْ جاءَتْ به أكحَلَ العَينَينِ، سابغَ الألْيَتَينِ، خَدَلَّجَ السّاقَينِ، فهو لِشَرِيكِ ابنِ سَحْماءَ».  </w:t>
      </w:r>
      <w:r>
        <w:rPr>
          <w:color w:val="000000"/>
          <w:rtl w:val="1"/>
        </w:rPr>
        <w:t xml:space="preserve">فجاءَتْ به كذلكَ،  </w:t>
      </w:r>
      <w:r>
        <w:rPr>
          <w:color w:val="000000"/>
          <w:rtl w:val="1"/>
        </w:rPr>
        <w:t xml:space="preserve">فقال النبيُّ ﷺ: «لولا ما مَضَى من كتاب الله، لَكانَ لي ولَها شأنٌ». </w:t>
      </w:r>
    </w:p>
    <w:p>
      <w:pPr>
        <w:bidi w:val="1"/>
        <w:jc w:val="start"/>
      </w:pPr>
      <w:r>
        <w:rPr>
          <w:rtl w:val="1"/>
        </w:rPr>
        <w:t>الشرح: الدلالة: كيفية اللعان وصفته ومكانه - التفريق للعان</w:t>
      </w:r>
    </w:p>
    <w:p>
      <w:pPr>
        <w:bidi w:val="1"/>
        <w:jc w:val="start"/>
      </w:pPr>
      <w:r>
        <w:rPr>
          <w:rtl w:val="1"/>
        </w:rPr>
        <w:t>الشرح: الدلالة: عظة الإمام الرجل والمرأة عند اللعان - التفريق للعان</w:t>
      </w:r>
    </w:p>
    <w:p>
      <w:pPr>
        <w:bidi w:val="1"/>
        <w:jc w:val="start"/>
      </w:pPr>
      <w:r>
        <w:rPr>
          <w:rtl w:val="1"/>
        </w:rPr>
        <w:t>الشرح: الدلالة: استتابة المتلاعنين بعد اللعان - التفريق للعان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مجئ جبريل كصلصلة الجرس (وهي أكثرها وأشدها عليه) - الوحي عن طريق جبريل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