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1876 — الرقم الفرعي: 99 — الرقم الأصلي: 1314 — ج: 2 — ص: 643</w:t>
        <w:br/>
      </w:r>
      <w:r>
        <w:rPr>
          <w:color w:val="000000"/>
          <w:rtl w:val="1"/>
        </w:rPr>
        <w:t xml:space="preserve">قال مالك:  </w:t>
      </w:r>
      <w:r>
        <w:rPr>
          <w:color w:val="000000"/>
          <w:rtl w:val="1"/>
        </w:rPr>
        <w:t xml:space="preserve">وإنَّما نهى سعيد بن المسيب وسليمانُ بن يسار، وأبو بكر بنُ محمد بن عَمرو بن حزم، وابنُ شهاب، عن أن يَبيع الرَّجلُ حنطةً بذهبٍ، ثم يشتري الرجلُ بالذَّهب تمرًا قبلَ أن يَقبض الذهبَ من بيِّعه الذي اشترى منه الحِنطةَ،  </w:t>
      </w:r>
      <w:r>
        <w:rPr>
          <w:color w:val="000000"/>
          <w:rtl w:val="1"/>
        </w:rPr>
        <w:t xml:space="preserve">فأمّا أن يشتري بالذَّهب التي باع بها الحِنطةَ إلى أَجلٍ تمرًا من غير بائعِه الذي باعَ منه الحِنطةَ قبلَ أن يَقبضَ الذَّهبَ، ويُحيلَ الذي اشتَرى منه التَّمرَ على غَريمِه الذي باع منه الحِنطةَ بالذهبِ التي له عليه في ثَمَر التَّمر، فلا بأسَ بذلك.  </w:t>
      </w:r>
      <w:r>
        <w:rPr>
          <w:color w:val="000000"/>
          <w:rtl w:val="1"/>
        </w:rPr>
        <w:t xml:space="preserve">قال مالك: وقد سألتُ عن ذلك غيرَ واحد من أهل العلم، فلم يَرَوا به بأسًا. </w:t>
      </w:r>
    </w:p>
    <w:p>
      <w:pPr>
        <w:bidi w:val="1"/>
        <w:jc w:val="start"/>
      </w:pPr>
      <w:r>
        <w:rPr>
          <w:rtl w:val="1"/>
        </w:rPr>
        <w:t>درجة الحديث: صحيح</w:t>
      </w:r>
    </w:p>
    <w:p>
      <w:pPr>
        <w:bidi w:val="1"/>
        <w:jc w:val="start"/>
      </w:pPr>
      <w:r>
        <w:rPr>
          <w:rtl w:val="1"/>
        </w:rPr>
        <w:t>الشرح: الدلالة: شروط الثمن وما يصلح ثمنًا في البيع - الثمن</w:t>
      </w:r>
    </w:p>
    <w:p>
      <w:pPr>
        <w:bidi w:val="1"/>
        <w:jc w:val="start"/>
      </w:pPr>
      <w:r>
        <w:rPr>
          <w:rtl w:val="1"/>
        </w:rPr>
        <w:t>الشرح: الدلالة: مؤجل الثمن - أقسام البيع باعتبار كيفية الثمن</w:t>
      </w:r>
    </w:p>
    <w:p>
      <w:pPr>
        <w:bidi w:val="1"/>
        <w:jc w:val="start"/>
      </w:pPr>
      <w:r>
        <w:rPr>
          <w:rtl w:val="1"/>
        </w:rPr>
        <w:t>الشرح: الدلالة: ربا النسيئة - أنواع الربا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