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1869 — الرقم الفرعي: 99 — الرقم الأصلي: 1311 — ج: 2 — ص: 169</w:t>
        <w:br/>
      </w:r>
      <w:r>
        <w:rPr>
          <w:rtl w:val="1"/>
        </w:rPr>
        <w:t xml:space="preserve"> وحدثني عن مالك عن يحيى  بن سعيد</w:t>
        <w:br/>
      </w:r>
      <w:r>
        <w:rPr>
          <w:color w:val="FF0000"/>
          <w:rtl w:val="1"/>
        </w:rPr>
        <w:t xml:space="preserve">أنَّه سمِعَ جَميلَ بنَ عبدِ الرَّحمنِ المؤذِّنَ، يقول لسعيدِ بنِ المُسيِّب: إنِّي رجلٌ أَبتاعُ من الأَرزاقِ التي تُعطَى النّاسَ بالجار، ما شاءَ الله، ثم أُريدُ أَن أَبيعَ الطَّعامَ المَضمُونَ عليَّ إلى أَجَل،  </w:t>
      </w:r>
      <w:r>
        <w:rPr>
          <w:color w:val="FF0000"/>
          <w:rtl w:val="1"/>
        </w:rPr>
        <w:t xml:space="preserve">فقال له سَعيد: أَتريدُ أن توفِّيَهم من تلك الأَرزاقِ التي ابتَعتَ؟ فقال: نعم، فنَهاهُ عن ذلك.  </w:t>
      </w:r>
      <w:r>
        <w:rPr>
          <w:color w:val="FF0000"/>
          <w:rtl w:val="1"/>
        </w:rPr>
        <w:t xml:space="preserve">قال مالك: الأمرُ المُجتَمعُ عليه عندَنا، الذي لا اختِلافَ فيه، أنّه مَن اشتَرى طعامًا، بُرًّا أو شعيرًا أو سُلْتًا أو ذُرَةً أو دُخْنًا، أو شيئًا من الحُبوبِ القِطنيّة، أو شيئًا ممّا يُشبهُ القِطنيّة، ممّا تَجِبُ فيه الزَّكاةُ، أو شيئًا من الأُدُم كلِّها، الزَّيتِ والسَّمنِ والعَسلِ والخَلِّ والجُبنِ والشِّيرِق واللَّبَن، وما أَشبَه ذلك مِن الأُدُم، فإنَّ المُبتاعَ، لا يَبيعُ شيئًا مِن ذلك حتى يَقبِضَه ويَستَوفِيَه. </w:t>
      </w:r>
    </w:p>
    <w:p>
      <w:pPr>
        <w:bidi w:val="1"/>
        <w:jc w:val="start"/>
      </w:pPr>
      <w:r>
        <w:rPr>
          <w:rtl w:val="1"/>
        </w:rPr>
        <w:t>درجة الحديث: صحيح</w:t>
      </w:r>
    </w:p>
    <w:p>
      <w:pPr>
        <w:bidi w:val="1"/>
        <w:jc w:val="start"/>
      </w:pPr>
      <w:r>
        <w:rPr>
          <w:rtl w:val="1"/>
        </w:rPr>
        <w:t>الشرح: الدلالة: من شروط المبيع كونه موجودًا حال العقد - المبيع</w:t>
      </w:r>
    </w:p>
    <w:p>
      <w:pPr>
        <w:bidi w:val="1"/>
        <w:jc w:val="start"/>
      </w:pPr>
      <w:r>
        <w:rPr>
          <w:rtl w:val="1"/>
        </w:rPr>
        <w:t>الشرح: الدلالة: النهي عن بيع ما ليس عند الإنسان وما لم يقبضه أو  ينقله من مكانه - أن لا يكون المبيع مملوكًا للبائع أو موكِّله أو مولِّيه</w:t>
      </w:r>
    </w:p>
    <w:p>
      <w:pPr>
        <w:bidi w:val="1"/>
        <w:jc w:val="start"/>
      </w:pPr>
      <w:r>
        <w:rPr>
          <w:rtl w:val="1"/>
        </w:rPr>
        <w:t>الشرح: الدلالة: بيع  المغانم ما لم تقسم وبيع الصدقات ما لم تقبض وبيع الهبة قبل قبضها - أن لا يكون المبيع مملوكًا للبائع أو موكِّله أو مولِّيه</w:t>
      </w:r>
    </w:p>
    <w:p>
      <w:pPr>
        <w:bidi w:val="1"/>
        <w:jc w:val="start"/>
      </w:pPr>
      <w:r>
        <w:rPr>
          <w:rtl w:val="1"/>
        </w:rPr>
        <w:t>الشرح: الدلالة: بيع الطعام حتى يجري فيه الصاعان (يدخل فيه القبض) - أسباب النهي المتعلقة بالربا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