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فرض صدقة الفطر قبل نزول الزكاة-كتاب الزكاة-سنن النسائي — رقم الحديث: 2506 — الرقم الفرعي: 99 — الرقم الأصلي: 2506</w:t>
        <w:br/>
      </w:r>
      <w:r>
        <w:rPr>
          <w:rtl w:val="1"/>
        </w:rPr>
        <w:t xml:space="preserve"> أخبرنا إسماعيل بن مسعود قال:حدثنا يزيد بن زريع قال:أنبأنا شعبة عن الحكم بن عُتيبة عن القاسم بن مُخيمرة عن عمرو بن شرحبيل عن قيس بن سعد بن عبادة</w:t>
        <w:br/>
      </w:r>
      <w:r>
        <w:rPr>
          <w:color w:val="FF0000"/>
          <w:rtl w:val="1"/>
        </w:rPr>
        <w:t xml:space="preserve">قال: كُنّا نَصومُ عَاشُوراء، ونُؤَدِّي زَكاةَ الفِطر، فلمّا نَزَلَ رمضانُ ونَزَلت الزَّكاةُ، لَم نُؤمَر به ولَم نُنهَ عنه، وكُنّا نَفعَلُه.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صدقة الفطر وفضلها - صدقة الفطر</w:t>
      </w:r>
    </w:p>
    <w:p>
      <w:pPr>
        <w:bidi w:val="1"/>
        <w:jc w:val="start"/>
      </w:pPr>
      <w:r>
        <w:rPr>
          <w:rtl w:val="1"/>
        </w:rPr>
        <w:t>الشرح: الدلالة: يوم عاشوراء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ما ورد في عاشوراء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الصيام قبل أن يفرض رمضان - مشروعية الصيام</w:t>
      </w:r>
    </w:p>
    <w:p>
      <w:pPr>
        <w:bidi w:val="1"/>
        <w:jc w:val="start"/>
      </w:pPr>
      <w:r>
        <w:rPr>
          <w:rtl w:val="1"/>
        </w:rPr>
        <w:t>الشرح: الدلالة: فرض صيام رمضان - مشروعية الصيام</w:t>
      </w:r>
    </w:p>
    <w:p>
      <w:pPr>
        <w:bidi w:val="1"/>
        <w:jc w:val="start"/>
      </w:pPr>
      <w:r>
        <w:rPr>
          <w:rtl w:val="1"/>
        </w:rPr>
        <w:t>الشرح: الدلالة: فرض صوم رمضان وزكاة المال - أحداث السنة الثانية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