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فرض صدقة الفطر قبل نزول الزكاة-كتاب الزكاة-سنن النسائي — رقم الحديث: 2507 — الرقم الفرعي: 99 — الرقم الأصلي: 2507</w:t>
        <w:br/>
      </w:r>
      <w:r>
        <w:rPr>
          <w:rtl w:val="1"/>
        </w:rPr>
        <w:t xml:space="preserve"> أخبرنا محمد بن عبد الله بن المبارك قال:حدثنا وكيع عن سفيان عن سلمة بن كهيل عن القاسم بن مُخيمِرة عن أبي عمّار الهمدانيّ عن قيس بن سعد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أمرَنا رسولُ الله ﷺ بصَدقَةِ الفِطرِ قبلَ أن تَنزِلَ الزَّكاة،  </w:t>
      </w:r>
      <w:r>
        <w:rPr>
          <w:color w:val="000000"/>
          <w:rtl w:val="1"/>
        </w:rPr>
        <w:t xml:space="preserve">فلمَّا نزلت الزَّكاةُ لم يأمُرْنا ولم يَنْهَنا، ونحنُ نفعَلُه.  </w:t>
      </w:r>
      <w:r>
        <w:rPr>
          <w:color w:val="000000"/>
          <w:rtl w:val="1"/>
        </w:rPr>
        <w:t xml:space="preserve">قال أَبو عبدِ الرَّحمن: أَبو عمّار اسمُه: عَرِيب بنُ حُمَيد،  </w:t>
      </w:r>
      <w:r>
        <w:rPr>
          <w:color w:val="000000"/>
          <w:rtl w:val="1"/>
        </w:rPr>
        <w:t xml:space="preserve">وعَمرُو بنُ شُرَحْبيل يُكْنَى أَبا مَيْسَرة،  </w:t>
      </w:r>
      <w:r>
        <w:rPr>
          <w:color w:val="000000"/>
          <w:rtl w:val="1"/>
        </w:rPr>
        <w:t xml:space="preserve">وسَلَمةُ بنُ كُهيل خالفَ الحَكَم في إسنادِه،  </w:t>
      </w:r>
      <w:r>
        <w:rPr>
          <w:color w:val="000000"/>
          <w:rtl w:val="1"/>
        </w:rPr>
        <w:t xml:space="preserve">والحَكَمُ أَثبتُ مِن سَلَمةَ بنِ كُهَيل.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فرض صوم رمضان وزكاة المال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