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ص-كتاب تفسير القرآن-سنن الترمذي — رقم الحديث: 3233 — الرقم الفرعي: 99 — الرقم الأصلي: 3231</w:t>
        <w:br/>
      </w:r>
      <w:r>
        <w:rPr>
          <w:rtl w:val="1"/>
        </w:rPr>
        <w:t xml:space="preserve"> حدثنا سلمة بن شبيب و عبد بن حميد قالا:حدثنا عبد الرزاق عن معمر عن أيوب عن أبي قِلابة عن ابن عباس</w:t>
        <w:br/>
      </w:r>
      <w:r>
        <w:rPr>
          <w:color w:val="FF0000"/>
          <w:rtl w:val="1"/>
        </w:rPr>
        <w:t xml:space="preserve">قال: قال رسولُ الله ﷺ: «أتاني اللَّيلةَ ربِّي تباركَ وتعالى في أَحسنِ صُورة،  </w:t>
      </w:r>
      <w:r>
        <w:rPr>
          <w:color w:val="FF0000"/>
          <w:rtl w:val="1"/>
        </w:rPr>
        <w:t xml:space="preserve">قال: أَحسَبُه قال: في المَنام،  </w:t>
      </w:r>
      <w:r>
        <w:rPr>
          <w:color w:val="FF0000"/>
          <w:rtl w:val="1"/>
        </w:rPr>
        <w:t xml:space="preserve">فقال: يا محمد، هل تَدرِي فيمَ يَختصِمُ الملأُ الأعلى؟  </w:t>
      </w:r>
      <w:r>
        <w:rPr>
          <w:color w:val="FF0000"/>
          <w:rtl w:val="1"/>
        </w:rPr>
        <w:t xml:space="preserve">قال: قلتُ: لا، قال: فوَضَع يدَه بين كتِفَيَّ، حتى وجدتُ بَرْدَها بين ثدْييَّ، أو قال: في نَحْري،  </w:t>
      </w:r>
      <w:r>
        <w:rPr>
          <w:color w:val="FF0000"/>
          <w:rtl w:val="1"/>
        </w:rPr>
        <w:t xml:space="preserve">فعَلِمتُ ما في السَّماواتِ وما في الأرض،  </w:t>
      </w:r>
      <w:r>
        <w:rPr>
          <w:color w:val="FF0000"/>
          <w:rtl w:val="1"/>
        </w:rPr>
        <w:t xml:space="preserve">قال: يا محمد، هل تَدرِي فيمَ يَختَصِمُ الملأُ الأعلى؟  </w:t>
      </w:r>
      <w:r>
        <w:rPr>
          <w:color w:val="FF0000"/>
          <w:rtl w:val="1"/>
        </w:rPr>
        <w:t xml:space="preserve">قلتُ: نعم، في الكفَّاراتِ، والكفَّاراتُ:  </w:t>
      </w:r>
      <w:r>
        <w:rPr>
          <w:color w:val="FF0000"/>
          <w:rtl w:val="1"/>
        </w:rPr>
        <w:t xml:space="preserve">المُكثُ في المساجدِ بعدَ الصَّلوات،  </w:t>
      </w:r>
      <w:r>
        <w:rPr>
          <w:color w:val="FF0000"/>
          <w:rtl w:val="1"/>
        </w:rPr>
        <w:t xml:space="preserve">والمَشيُ على الأقدامِ إلى الجَمَاعات،  </w:t>
      </w:r>
      <w:r>
        <w:rPr>
          <w:color w:val="FF0000"/>
          <w:rtl w:val="1"/>
        </w:rPr>
        <w:t xml:space="preserve">وإبلاغُ الوُضوءِ في المَكارِه،  </w:t>
      </w:r>
      <w:r>
        <w:rPr>
          <w:color w:val="FF0000"/>
          <w:rtl w:val="1"/>
        </w:rPr>
        <w:t xml:space="preserve">ومَن فَعَلَ ذلك عاشَ بخَيرٍ، وماتَ بخَير، وكان مِن خَطيئتِه كيومَ وَلدَتْه أُمُّه،  </w:t>
      </w:r>
      <w:r>
        <w:rPr>
          <w:color w:val="FF0000"/>
          <w:rtl w:val="1"/>
        </w:rPr>
        <w:t xml:space="preserve">فقال: يا محمد، إذا صلَّيتَ فقُل:  </w:t>
      </w:r>
      <w:r>
        <w:rPr>
          <w:color w:val="FF0000"/>
          <w:rtl w:val="1"/>
        </w:rPr>
        <w:t xml:space="preserve">اللَّهم إنِّي أسألُك فِعلَ الخَيرات،  </w:t>
      </w:r>
      <w:r>
        <w:rPr>
          <w:color w:val="FF0000"/>
          <w:rtl w:val="1"/>
        </w:rPr>
        <w:t xml:space="preserve">وتَرْكَ المُنكَرات،  </w:t>
      </w:r>
      <w:r>
        <w:rPr>
          <w:color w:val="FF0000"/>
          <w:rtl w:val="1"/>
        </w:rPr>
        <w:t xml:space="preserve">وحُبَّ المساكين،  </w:t>
      </w:r>
      <w:r>
        <w:rPr>
          <w:color w:val="FF0000"/>
          <w:rtl w:val="1"/>
        </w:rPr>
        <w:t xml:space="preserve">وإذا أردتَ بعِبادِكَ فِتنةً، فاقبِضْني إليكَ غيرَ مَفتُون،  </w:t>
      </w:r>
      <w:r>
        <w:rPr>
          <w:color w:val="FF0000"/>
          <w:rtl w:val="1"/>
        </w:rPr>
        <w:t xml:space="preserve">قال: والدَّرجاتُ:  </w:t>
      </w:r>
      <w:r>
        <w:rPr>
          <w:color w:val="FF0000"/>
          <w:rtl w:val="1"/>
        </w:rPr>
        <w:t xml:space="preserve">إفشاءُ السَّلام،  </w:t>
      </w:r>
      <w:r>
        <w:rPr>
          <w:color w:val="FF0000"/>
          <w:rtl w:val="1"/>
        </w:rPr>
        <w:t xml:space="preserve">وإطعامُ الطَّعام،  </w:t>
      </w:r>
      <w:r>
        <w:rPr>
          <w:color w:val="FF0000"/>
          <w:rtl w:val="1"/>
        </w:rPr>
        <w:t xml:space="preserve">والصَّلاةُ باللَّيل والناسُ نِيام». </w:t>
      </w:r>
      <w:r>
        <w:rPr>
          <w:color w:val="000000"/>
          <w:rtl w:val="1"/>
        </w:rPr>
        <w:t xml:space="preserve">وقد ذَكرُوا بين أَبي قِلابةَ، وبينَ ابنِ عبّاس في هذا الحديثِ رجلًا،  </w:t>
      </w:r>
      <w:r>
        <w:rPr>
          <w:color w:val="000000"/>
          <w:rtl w:val="1"/>
        </w:rPr>
        <w:t xml:space="preserve">وقد رواهُ قتادةُ، عن أبي قِلابةَ، عن خالد بنِ اللَّجلاج، عن ابن عباس.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اختصام الملأ الأعلى في الخير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