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bidi w:val="1"/>
        <w:jc w:val="start"/>
      </w:pPr>
      <w:r>
        <w:rPr>
          <w:rtl w:val="1"/>
        </w:rPr>
        <w:t>مختارات من مكتبة الحديث</w:t>
      </w:r>
    </w:p>
    <w:p>
      <w:pPr>
        <w:bidi w:val="1"/>
        <w:jc w:val="start"/>
      </w:pPr>
      <w:r>
        <w:rPr>
          <w:rtl w:val="1"/>
        </w:rPr>
        <w:t>تقرير يضم 1 حديثًا من المحتوى المنشور. الشواهد المميزة مرتبطة بالدلالة المختارة أو بالتصنيفات المنشورة عند عدم اختيار دلالة. الأحكام من السجلات الأصلية.</w:t>
      </w:r>
    </w:p>
    <w:p>
      <w:pPr>
        <w:bidi w:val="1"/>
        <w:jc w:val="start"/>
      </w:pPr>
      <w:r>
        <w:rPr>
          <w:rtl w:val="1"/>
        </w:rPr>
        <w:fldChar w:fldCharType="begin"/>
        <w:instrText xml:space="preserve">TOC \o "1-9" \h \z \u</w:instrText>
        <w:fldChar w:fldCharType="end"/>
      </w:r>
    </w:p>
    <w:p>
      <w:pPr>
        <w:pStyle w:val="Heading1"/>
        <w:bidi w:val="1"/>
        <w:jc w:val="start"/>
      </w:pPr>
      <w:r>
        <w:rPr>
          <w:rtl w:val="1"/>
        </w:rPr>
        <w:t>الأحاديث المختارة</w:t>
      </w:r>
    </w:p>
    <w:p>
      <w:pPr>
        <w:bidi w:val="1"/>
        <w:jc w:val="start"/>
      </w:pPr>
      <w:r>
        <w:rPr>
          <w:b/>
          <w:rtl w:val="1"/>
        </w:rPr>
        <w:t>سنن الترمذي — باب ما جاء في صلاة الحاجة-أبواب الصلاة-سنن الترمذي — رقم الحديث: 479 — الرقم الفرعي: 99 — الرقم الأصلي: 479</w:t>
        <w:br/>
      </w:r>
      <w:r>
        <w:rPr>
          <w:rtl w:val="1"/>
        </w:rPr>
        <w:t xml:space="preserve"> حدثنا عليّ بن يزيد البغداديّ حدثنا عبد الله بن بكر السهميّ وحدثنا عبد الله بن منير عن عبد الله بن بكر عن فائد بن عبد الرحمن عن عبد الله بن أبي أوفى قال:قال رسول الله صلى الله عليه وسلم</w:t>
        <w:br/>
      </w:r>
      <w:r>
        <w:rPr>
          <w:color w:val="000000"/>
          <w:rtl w:val="1"/>
        </w:rPr>
        <w:t xml:space="preserve">«من ‌كانَتْ ‌لَهُ ‌إلى ‌اللهِ ‌حَاجةٌ، أو إلى أحَدٍ من بَني آدمَ، فليتوضَّأْ وليُحسن الوضوءَ، ثم ليُصَلِّ رَكْعَتَيْن،  </w:t>
      </w:r>
      <w:r>
        <w:rPr>
          <w:color w:val="FF0000"/>
          <w:rtl w:val="1"/>
        </w:rPr>
        <w:t xml:space="preserve">ثم ليُثْنِ على الله، وليُصَلِّ على النبيِّ ﷺ، ثم ليَقُلْ: لا إله إلَّا الله الحَليمُ الكَريمُ، سُبحانَ اللهِ رَبِّ العَرْشِ العَظيمِ، الحَمْدُ لله رَبِّ العَالَميْن، أسأَلُك موجِباتِ رحْمَتِك، وعَزَائمَ مَغْفرتِك، والغَنيْمةَ من كلِّ بِرٍّ، والسلامة من كلِّ إثْمٍ، لا تَدَعْ لي ذنبًا إلَّا غفرتَه، ولا هَمًّا إلَّا فَرَّجْتَه، ولا حاجةً هي لك رِضًا إلَّا قَضَيْتَها، يا أرْحمَ الرَّاحِمينَ». </w:t>
      </w:r>
      <w:r>
        <w:rPr>
          <w:color w:val="000000"/>
          <w:rtl w:val="1"/>
        </w:rPr>
        <w:t xml:space="preserve">هذا حَديثٌ غريبٌ، وفي إسْنادِهِ مَقالٌ، فَائِدُ بن عبدِ الرَّحْمنِ يُضَعَّفُ في الحَديثِ، وفَائدٌ هو أبو الوَرْقَاءِ. </w:t>
      </w:r>
      <w:r>
        <w:rPr>
          <w:color w:val="000000"/>
          <w:rtl w:val="1"/>
        </w:rPr>
        <w:t xml:space="preserve"> </w:t>
      </w:r>
    </w:p>
    <w:p>
      <w:pPr>
        <w:bidi w:val="1"/>
        <w:jc w:val="start"/>
      </w:pPr>
      <w:r>
        <w:rPr>
          <w:rtl w:val="1"/>
        </w:rPr>
        <w:t xml:space="preserve">درجة الحديث: إسناده ضعيف  / إسناده ضعيف </w:t>
      </w:r>
    </w:p>
    <w:p>
      <w:pPr>
        <w:bidi w:val="1"/>
        <w:jc w:val="start"/>
      </w:pPr>
      <w:r>
        <w:rPr>
          <w:rtl w:val="1"/>
        </w:rPr>
        <w:t>الشرح: الدلالة: العمل الصالح - القيم والأخلاق المحمودة</w:t>
      </w:r>
    </w:p>
    <w:p>
      <w:pPr>
        <w:bidi w:val="1"/>
        <w:jc w:val="start"/>
      </w:pPr>
      <w:r>
        <w:rPr>
          <w:rtl w:val="1"/>
        </w:rPr>
        <w:t>الشرح: الدلالة: تحقيق العبودية لله وحده لا شريك له - الأهداف العامة للتربية و التعليم</w:t>
      </w:r>
    </w:p>
    <w:p>
      <w:pPr>
        <w:bidi w:val="1"/>
        <w:jc w:val="start"/>
      </w:pPr>
      <w:r>
        <w:rPr>
          <w:rtl w:val="1"/>
        </w:rPr>
        <w:t>الشرح: الدلالة: في إسناده مقال - الضعيف</w:t>
      </w:r>
    </w:p>
    <w:p>
      <w:pPr>
        <w:bidi w:val="1"/>
        <w:jc w:val="start"/>
      </w:pPr>
      <w:r>
        <w:rPr>
          <w:rtl w:val="1"/>
        </w:rPr>
        <w:t>الشرح: الدلالة: الإستعداد - مبادئ التعلم وشروطه</w:t>
      </w:r>
    </w:p>
    <w:p>
      <w:pPr>
        <w:bidi w:val="1"/>
        <w:jc w:val="start"/>
      </w:pPr>
      <w:r>
        <w:rPr>
          <w:rtl w:val="1"/>
        </w:rPr>
        <w:t>الشرح: الدلالة: الدافع (الباعث والحافزوالتعزيز) - مبادئ التعلم وشروطه</w:t>
      </w:r>
    </w:p>
    <w:p>
      <w:pPr>
        <w:bidi w:val="1"/>
        <w:jc w:val="start"/>
      </w:pPr>
      <w:r>
        <w:rPr>
          <w:rtl w:val="1"/>
        </w:rPr>
        <w:t>الشرح: الدلالة: التربية بالدعاء - الأساليب التربوية والتهذيبية</w:t>
      </w:r>
    </w:p>
    <w:p>
      <w:pPr>
        <w:bidi w:val="1"/>
        <w:jc w:val="start"/>
      </w:pPr>
      <w:r>
        <w:rPr>
          <w:rtl w:val="1"/>
        </w:rPr>
        <w:t>الشرح: الدلالة: التربية بالتلقين - الأساليب التربوية والتهذيبية</w:t>
      </w:r>
    </w:p>
    <w:p>
      <w:pPr>
        <w:bidi w:val="1"/>
        <w:jc w:val="start"/>
      </w:pPr>
      <w:r>
        <w:rPr>
          <w:rtl w:val="1"/>
        </w:rPr>
        <w:t>الشرح: الدلالة: أذكار صلاة الحاجة - أذكار الصلوات الخاصة وأدعيتها</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updateFields w:val="tru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sz w:val="24"/>
      <w:rFonts w:cs="Arial"/>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