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كلّ مولود يولد على الفطرة-كتاب القدر-صحيح مسلم — رقم الحديث: 2662 — الرقم الفرعي: 1 — الرقم الأصلي: 2662</w:t>
        <w:br/>
      </w:r>
      <w:r>
        <w:rPr>
          <w:rtl w:val="1"/>
        </w:rPr>
        <w:t xml:space="preserve"> حدثني زهير بن حرب حدثنا جَرير عن العلاء بن المسيّب عن فُضَيل بن عمرو عن عائشة بنت طلحة عن عائشة أمّ المؤمنين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تُوفِّي صَبيٌّ، فقلتُ: طُوبَى له، عُصفورٌ مِن عَصافِير الجَنّة،  </w:t>
      </w:r>
      <w:r>
        <w:rPr>
          <w:color w:val="FF0000"/>
          <w:rtl w:val="1"/>
        </w:rPr>
        <w:t xml:space="preserve">فقالَ رسولُ الله ﷺ: «أَوَلا تَدرِينَ أنَّ اللهَ خلَقَ الجَنّةَ وخلَقَ النّارَ، فخَلقَ لهذِه أَهلًا ولهذِه أَهلًا».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