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التحريض على قتل الخوارج-كتاب الزكاة-صحيح مسلم — رقم الحديث: 1066 — الرقم الفرعي: 4 — الرقم الأصلي: 1066</w:t>
        <w:br/>
      </w:r>
      <w:r>
        <w:rPr>
          <w:rtl w:val="1"/>
        </w:rPr>
        <w:t xml:space="preserve"> وحدثنا محمد بن أبي بكر المُقَدَّميّ حدثنا ابن عُلَيّة و حمّاد بن زيد ح وحدثنا قتيبة بن سعيد حدثنا حمّاد بن زيد ح وحدثنا أبو بكر بن أبي شيبة و زهير بن حرب ملاحظة واللفظ لهما قالا:حدثنا إسماعيل بن عُلَيّة عن أيوب عن محمد عن عبيدة عن عليّ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ذكَرَ الخوارجَ، فقال: فيهم رجلٌ مُخْدَجُ اليَد، أو مُودَنُ اليَد، أو مَثدُونُ اليد،  </w:t>
      </w:r>
      <w:r>
        <w:rPr>
          <w:color w:val="FF0000"/>
          <w:rtl w:val="1"/>
        </w:rPr>
        <w:t xml:space="preserve">لولا أن تَبطَروا لحدَّثتُكم بما وَعَدَ اللهُ الذين يَقتُلونَهم على لسانِ محمّدٍ ﷺ،  </w:t>
      </w:r>
      <w:r>
        <w:rPr>
          <w:color w:val="FF0000"/>
          <w:rtl w:val="1"/>
        </w:rPr>
        <w:t xml:space="preserve">قال: قلت: آنتَ سمِعتَه مِن محمّدٍ ﷺ؟ قال: إي، وربِّ الكَعبة، إي وربِّ الكعبة، إي وربِّ الكعبة. </w:t>
      </w:r>
    </w:p>
    <w:p>
      <w:pPr>
        <w:bidi w:val="1"/>
        <w:jc w:val="start"/>
      </w:pPr>
      <w:r>
        <w:rPr>
          <w:rtl w:val="1"/>
        </w:rPr>
        <w:t>الشرح: الدلالة: الفصل الحادي عشر: قتال أهل الفتن والدعاة إلى الفتنة - كيفية التصرف عند وقوع الفتن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