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طلّق ،وهل يواجه الرجل امرأته بالطلاق-كتاب الطلاق-صحيح البخاري — رقم الحديث: 5256 — الرقم الفرعي: 99 — الرقم الأصلي: 5256</w:t>
        <w:br/>
      </w:r>
      <w:r>
        <w:rPr>
          <w:rtl w:val="1"/>
        </w:rPr>
        <w:t xml:space="preserve"> وقال الحسين بن الوليد النّيسابوريّ عن عبد الرحمن عن عباس بن سهل عن أبيه و أبي أُسيد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تَزوَّجَ النّبيُّ ﷺ أُمَيمةَ بنتَ شَراحيلَ،  </w:t>
      </w:r>
      <w:r>
        <w:rPr>
          <w:color w:val="FF0000"/>
          <w:rtl w:val="1"/>
        </w:rPr>
        <w:t xml:space="preserve">فلمّا أُدْخِلَتْ عليه بَسَطَ يدَه إليها،  </w:t>
      </w:r>
      <w:r>
        <w:rPr>
          <w:color w:val="FF0000"/>
          <w:rtl w:val="1"/>
        </w:rPr>
        <w:t xml:space="preserve">فكأنَّها كَرِهَتْ ذلكَ،  </w:t>
      </w:r>
      <w:r>
        <w:rPr>
          <w:color w:val="FF0000"/>
          <w:rtl w:val="1"/>
        </w:rPr>
        <w:t xml:space="preserve">فأمَرَ أبا أُسَيدٍ أنْ يُجهِّزَها ويَكْسُوَها ثَوْبَيْنِ رازِقِيَّينِ. 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مهر المثل والمتعة - المهر</w:t>
      </w:r>
    </w:p>
    <w:p>
      <w:pPr>
        <w:bidi w:val="1"/>
        <w:jc w:val="start"/>
      </w:pPr>
      <w:r>
        <w:rPr>
          <w:rtl w:val="1"/>
        </w:rPr>
        <w:t>الشرح: الدلالة: الطلاق الكنائي - ثالثا: من حيث الصيغة المستعملة فيه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