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ملازمة جماعة المسلمين عند ظهور الفتن،وفي كل حال-كتاب الإمارة-صحيح مسلم — رقم الحديث: 1850 — الرقم الفرعي: 99 — الرقم الأصلي: 1850</w:t>
        <w:br/>
      </w:r>
      <w:r>
        <w:rPr>
          <w:rtl w:val="1"/>
        </w:rPr>
        <w:t xml:space="preserve"> حدثنا هُرَيم بن عبد الأعلى حدثنا المُعتمِر قال:سمعت أبي يحدث عن أبي مِجْلَز عن جُندُب بن عبد الله البَجَليّ قال: قالَ رسولُ الله ﷺ:</w:t>
        <w:br/>
      </w:r>
      <w:r>
        <w:rPr>
          <w:color w:val="FF0000"/>
          <w:rtl w:val="1"/>
        </w:rPr>
        <w:t xml:space="preserve">«مَن قُتِلَ تحتَ رايةٍ عُمِّيَّة، يدعو عَصَبِيَّة، أو يَنصُرُ عَصَبِيَّة، فقِتْلةٌ جاهليَّة». 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النهي عن العصبية - الأمة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