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إنما جُعل الإمام ليؤتمّ به-كتاب الصلاة-صحيح البخاري — رقم الحديث: 688 — الرقم الفرعي: 99 — الرقم الأصلي: 688</w:t>
        <w:br/>
      </w:r>
      <w:r>
        <w:rPr>
          <w:rtl w:val="1"/>
        </w:rPr>
        <w:t xml:space="preserve"> حدثنا عبد الله بن يوسف قال: أخبرنا مالك عن هشام بن عروة عن أبيه عن عائشة أمّ المؤمنين</w:t>
        <w:br/>
      </w:r>
      <w:r>
        <w:rPr>
          <w:color w:val="FF0000"/>
          <w:rtl w:val="1"/>
        </w:rPr>
        <w:t xml:space="preserve">أنَّها قالت: صَلَّى رسولُ الله ﷺ في بيتِه وهو شاكٍ،  </w:t>
      </w:r>
      <w:r>
        <w:rPr>
          <w:color w:val="FF0000"/>
          <w:rtl w:val="1"/>
        </w:rPr>
        <w:t xml:space="preserve">فصَلَّى جالسًا،  </w:t>
      </w:r>
      <w:r>
        <w:rPr>
          <w:color w:val="FF0000"/>
          <w:rtl w:val="1"/>
        </w:rPr>
        <w:t xml:space="preserve">وصَلَّى وراءَه قومٌ قِيامًا،  </w:t>
      </w:r>
      <w:r>
        <w:rPr>
          <w:color w:val="FF0000"/>
          <w:rtl w:val="1"/>
        </w:rPr>
        <w:t xml:space="preserve">فأشارَ إليهم أنِ اجلِسُوا،  </w:t>
      </w:r>
      <w:r>
        <w:rPr>
          <w:color w:val="FF0000"/>
          <w:rtl w:val="1"/>
        </w:rPr>
        <w:t xml:space="preserve">فلمّا انصَرَفَ قال:  </w:t>
      </w:r>
      <w:r>
        <w:rPr>
          <w:color w:val="FF0000"/>
          <w:rtl w:val="1"/>
        </w:rPr>
        <w:t xml:space="preserve">«إنَّما جُعِلَ الإمامُ لِيُؤتَمَّ به، فإذا رَكَعَ فاركَعُوا، وإذا رَفَعَ فارفَعُوا،  </w:t>
      </w:r>
      <w:r>
        <w:rPr>
          <w:color w:val="FF0000"/>
          <w:rtl w:val="1"/>
        </w:rPr>
        <w:t xml:space="preserve">وإذا صَلَّى جالسًا فصَلُّوا جلوسًا». </w:t>
      </w:r>
    </w:p>
    <w:p>
      <w:pPr>
        <w:bidi w:val="1"/>
        <w:jc w:val="start"/>
      </w:pPr>
      <w:r>
        <w:rPr>
          <w:rtl w:val="1"/>
        </w:rPr>
        <w:t>الشرح: الدلالة: سقوط النبي صلى الله عليه وسلم عن الفرس وصلاته جالسًا - أحداث السنة الخامسة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الراعي والرعية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صلاة المريض - الأعذار في الصلوات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متابعة المأموم الإمام في حركاته - متابعة الإمام</w:t>
      </w:r>
    </w:p>
    <w:p>
      <w:pPr>
        <w:bidi w:val="1"/>
        <w:jc w:val="start"/>
      </w:pPr>
      <w:r>
        <w:rPr>
          <w:rtl w:val="1"/>
        </w:rPr>
        <w:t>الشرح: الدلالة: قيام المأموم مع جلوس الإمام - متابعة الإمام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الرخص للمريض - الأخذ بالرخص</w:t>
      </w:r>
    </w:p>
    <w:p>
      <w:pPr>
        <w:bidi w:val="1"/>
        <w:jc w:val="start"/>
      </w:pPr>
      <w:r>
        <w:rPr>
          <w:rtl w:val="1"/>
        </w:rPr>
        <w:t>الشرح: الدلالة: بعض الإشارات والحركات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أحوال ترك صلاة الجماعة - إقامة الجماعة وتأخيرها وتركها</w:t>
      </w:r>
    </w:p>
    <w:p>
      <w:pPr>
        <w:bidi w:val="1"/>
        <w:jc w:val="start"/>
      </w:pPr>
      <w:r>
        <w:rPr>
          <w:rtl w:val="1"/>
        </w:rPr>
        <w:t>الشرح: الدلالة: * قيمة التعاون في صلاة الجماعة - التعاون على طاعة الله عزّ وجلّ</w:t>
      </w:r>
    </w:p>
    <w:p>
      <w:pPr>
        <w:bidi w:val="1"/>
        <w:jc w:val="start"/>
      </w:pPr>
      <w:r>
        <w:rPr>
          <w:rtl w:val="1"/>
        </w:rPr>
        <w:t>الشرح: الدلالة: ** قيمة النظام في متابعة الإمام في صلاة الجماعة - * النظام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