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قسم الفَيء-كتاب الخراج والإمارة والفيء-سنن أبي داود — رقم الحديث: 2953 — الرقم الفرعي: 99 — الرقم الأصلي: 2953</w:t>
        <w:br/>
      </w:r>
      <w:r>
        <w:rPr>
          <w:rtl w:val="1"/>
        </w:rPr>
        <w:t xml:space="preserve"> حدثنا سعيد بن منصور ثنا عبد الله بن المبارك ح وثنا ابن المصفى قال:ثنا أبو المغيرة جميعاً عن صفوان بن عمرو عن عبد الرحمن بن جبير بن نفير عن أبيه عن عوفِ بنِ مالك:</w:t>
        <w:br/>
      </w:r>
      <w:r>
        <w:rPr>
          <w:color w:val="FF0000"/>
          <w:rtl w:val="1"/>
        </w:rPr>
        <w:t xml:space="preserve">أنَّ رسولَ الله ﷺ كان إذا أتاهُ الفَيءُ قَسَمَه في يومِه،  </w:t>
      </w:r>
      <w:r>
        <w:rPr>
          <w:color w:val="FF0000"/>
          <w:rtl w:val="1"/>
        </w:rPr>
        <w:t xml:space="preserve">فأَعطَى الآهِلَ حظَّين، وأَعطَى العَزَبَ حظًّا.  </w:t>
      </w:r>
      <w:r>
        <w:rPr>
          <w:color w:val="FF0000"/>
          <w:rtl w:val="1"/>
        </w:rPr>
        <w:t xml:space="preserve">- زاد ابنُ المُصفَّى: فدُعِينا وكنتُ أُدْعى قبل عمار،  </w:t>
      </w:r>
      <w:r>
        <w:rPr>
          <w:color w:val="FF0000"/>
          <w:rtl w:val="1"/>
        </w:rPr>
        <w:t xml:space="preserve">فدُعِيتُ فأَعطاني حظَّين، وكان لي أَهلٌ،  </w:t>
      </w:r>
      <w:r>
        <w:rPr>
          <w:color w:val="FF0000"/>
          <w:rtl w:val="1"/>
        </w:rPr>
        <w:t xml:space="preserve">ثم دُعي بعدي عمّار بنُ ياسر فأُعطِي حظًّا واحدًا.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اقتسام الأموال وتوزيع الثروات - توزيع الغذاء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