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الصرف وبيع الذهب بالورق نقداً-كتاب المساقاة-صحيح مسلم — رقم الحديث: 1588 — الرقم الفرعي: 3 — الرقم الأصلي: 1588</w:t>
        <w:br/>
      </w:r>
      <w:r>
        <w:rPr>
          <w:rtl w:val="1"/>
        </w:rPr>
        <w:t xml:space="preserve"> حدثنا أبو كُرَيب و واصل بن عبد الأعلى قالا:حدثنا ابن فُضَيل عن أبيه عن ابن أبي نُعْم عن أبي هريرة قال:قال رسول الله صلى الله عليه وسلم</w:t>
        <w:br/>
      </w:r>
      <w:r>
        <w:rPr>
          <w:color w:val="FF0000"/>
          <w:rtl w:val="1"/>
        </w:rPr>
        <w:t xml:space="preserve">«الذَّهبُ بالذَّهب وَزنًا بوَزن، مِثلًا بمِثْل، والفِضَّةُ بالفِضَّة وَزنًا بوَزن، مِثلًا بمِثْل، فمَن زادَ أو استَزادَ فهو رِبا». 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علة تحريم الربا في النقدين - علة تحريم الربا</w:t>
      </w:r>
    </w:p>
    <w:p>
      <w:pPr>
        <w:bidi w:val="1"/>
        <w:jc w:val="start"/>
      </w:pPr>
      <w:r>
        <w:rPr>
          <w:rtl w:val="1"/>
        </w:rPr>
        <w:t>الشرح: الدلالة: التماثل - شروط الصرف</w:t>
      </w:r>
    </w:p>
    <w:p>
      <w:pPr>
        <w:bidi w:val="1"/>
        <w:jc w:val="start"/>
      </w:pPr>
      <w:r>
        <w:rPr>
          <w:rtl w:val="1"/>
        </w:rPr>
        <w:t>الشرح: الدلالة: بيع أحد النقدين بجنسه - أنواع الصرف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