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5898 — الرقم الفرعي: 99 — الرقم الأصلي: 5898</w:t>
        <w:br/>
      </w:r>
      <w:r>
        <w:rPr>
          <w:rtl w:val="1"/>
        </w:rPr>
        <w:t xml:space="preserve"> حدثنا موسى بن داود حدثنا ابن لَهيعة بن أبي عمران عن نافع عن ابن عمر أنّ النبي،صلى الله عليه وسلم</w:t>
        <w:br/>
      </w:r>
      <w:r>
        <w:rPr>
          <w:color w:val="FF0000"/>
          <w:rtl w:val="1"/>
        </w:rPr>
        <w:t xml:space="preserve">قال: «مَن صلَّى صلاةَ الصُّبح فلَهُ ذِمَّة الله،  </w:t>
      </w:r>
      <w:r>
        <w:rPr>
          <w:color w:val="000000"/>
          <w:rtl w:val="1"/>
        </w:rPr>
        <w:t xml:space="preserve">فلا تُخْفِروا اللهَ ذِمَّتَه، فإنّه مَن أَخفَرَ ذِمَّتَه طَلَبَه اللهُ حتى يَكُبَّه على وَجهِه»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أهل الصلاة يبقَون في ذمة الله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