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أيصلّي الرجل وهو حاقِن ؟-كتاب الطهارة-سنن أبي داود — رقم الحديث: 90 — الرقم الفرعي: 99 — الرقم الأصلي: 90</w:t>
        <w:br/>
      </w:r>
      <w:r>
        <w:rPr>
          <w:rtl w:val="1"/>
        </w:rPr>
        <w:t xml:space="preserve"> حدثنا محمد بن عيسى ثنا ابن عيّاش عن حبيب بن صالح عن يزيد بن شريح الحضرميّ عن أبي حيّ المؤذن عن ثوبان قال:قال رسول الله صلى الله عليه وسلم</w:t>
        <w:br/>
      </w:r>
      <w:r>
        <w:rPr>
          <w:color w:val="FF0000"/>
          <w:rtl w:val="1"/>
        </w:rPr>
        <w:t xml:space="preserve">«ثلاثٌ لا يَحِلُّ لأحدٍ أن يَفعَلَهُنَّ:  </w:t>
      </w:r>
      <w:r>
        <w:rPr>
          <w:color w:val="FF0000"/>
          <w:rtl w:val="1"/>
        </w:rPr>
        <w:t xml:space="preserve">لا يَؤُمُّ رجلٌ قومًا فيَخُصَّ نفسَه بالدُّعاء دونَهم، فإن فَعَلَ فقد خانَهم،  </w:t>
      </w:r>
      <w:r>
        <w:rPr>
          <w:color w:val="FF0000"/>
          <w:rtl w:val="1"/>
        </w:rPr>
        <w:t xml:space="preserve">ولا ينظُرُ في قَعْرِ بيتٍ قبلَ أن يَستأذِنَ، فإن فَعَلَ فقد دَخَلَ،  </w:t>
      </w:r>
      <w:r>
        <w:rPr>
          <w:color w:val="FF0000"/>
          <w:rtl w:val="1"/>
        </w:rPr>
        <w:t xml:space="preserve">ولا يُصلِّي وهو حَقِنٌ حتَّى يَتَخَفَّف».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إعداد الداعي (تربية الداعي وتأهيله)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الخيانة والغدر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الانانية والأثرة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الضوابط الاجتماعية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إعداد الداعي خلقيا (يحال إلى الأخلاق)</w:t>
      </w:r>
    </w:p>
    <w:p>
      <w:pPr>
        <w:bidi w:val="1"/>
        <w:jc w:val="start"/>
      </w:pPr>
      <w:r>
        <w:rPr>
          <w:rtl w:val="1"/>
        </w:rPr>
        <w:t>الشرح: الدلالة: الأسلوب التقريري المباشر</w:t>
      </w:r>
    </w:p>
    <w:p>
      <w:pPr>
        <w:bidi w:val="1"/>
        <w:jc w:val="start"/>
      </w:pPr>
      <w:r>
        <w:rPr>
          <w:rtl w:val="1"/>
        </w:rPr>
        <w:t>الشرح: الدلالة: الأحوال المنهي عن الصلاة فيها - شروط صحة الصلاة</w:t>
      </w:r>
    </w:p>
    <w:p>
      <w:pPr>
        <w:bidi w:val="1"/>
        <w:jc w:val="start"/>
      </w:pPr>
      <w:r>
        <w:rPr>
          <w:rtl w:val="1"/>
        </w:rPr>
        <w:t>الشرح: الدلالة: تكوين الإنسان الصالح المصلح (انسانياً)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الاستئذان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تخصيص الإمام نفسه بالدعاء - ما ينهى عنه في الإمامة</w:t>
      </w:r>
    </w:p>
    <w:p>
      <w:pPr>
        <w:bidi w:val="1"/>
        <w:jc w:val="start"/>
      </w:pPr>
      <w:r>
        <w:rPr>
          <w:rtl w:val="1"/>
        </w:rPr>
        <w:t>الشرح: الدلالة: الصحة الجسمية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عدم الصلاة وهو حاقن - الخشوع في الصلاة</w:t>
      </w:r>
    </w:p>
    <w:p>
      <w:pPr>
        <w:bidi w:val="1"/>
        <w:jc w:val="start"/>
      </w:pPr>
      <w:r>
        <w:rPr>
          <w:rtl w:val="1"/>
        </w:rPr>
        <w:t>الشرح: الدلالة: قيمة الاستئذان قبل دخول الدار أو النظر فيها - مظاهر قيمة الاستئذان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