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استأجر أرضاً فمات أحدهما-كتاب في الاجارة-صحيح البخاري — رقم الحديث: 2286 — الرقم الفرعي: 99 — الرقم الأصلي: 2286</w:t>
        <w:br/>
      </w:r>
      <w:r>
        <w:rPr>
          <w:rtl w:val="1"/>
        </w:rPr>
        <w:t xml:space="preserve"> وأن رافع بن خديج</w:t>
        <w:br/>
      </w:r>
      <w:r>
        <w:rPr>
          <w:color w:val="FF0000"/>
          <w:rtl w:val="1"/>
        </w:rPr>
        <w:t xml:space="preserve">حَدَّثَ: أنَّ النبيَّ ﷺ نَهَى عن كِراءِ المَزارعِ. </w:t>
      </w:r>
      <w:r>
        <w:rPr>
          <w:color w:val="FF0000"/>
          <w:rtl w:val="1"/>
        </w:rPr>
        <w:t xml:space="preserve">وقال عُبَيدُ الله، عن نافعٍ، عن ابنِ عمرَ: حتَّى أجْلاهُم عمرُ. 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عوامل التغير الاجتماعي</w:t>
      </w:r>
    </w:p>
    <w:p>
      <w:pPr>
        <w:bidi w:val="1"/>
        <w:jc w:val="start"/>
      </w:pPr>
      <w:r>
        <w:rPr>
          <w:rtl w:val="1"/>
        </w:rPr>
        <w:t>الشرح: الدلالة: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الحرص على الطيبات والرزق الحلال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الضوابط التشريعية(الأحكام الشرعية)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الديني (الدعوي ) - عوامل التغير الاجتماعي - عوامل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الاستماع ( الإخبار والإعلام ونشر الدعوة ) -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الاهتمام -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المظهر الاقتصادي -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أسلوب الحوار (المنطق والإقناع)</w:t>
      </w:r>
    </w:p>
    <w:p>
      <w:pPr>
        <w:bidi w:val="1"/>
        <w:jc w:val="start"/>
      </w:pPr>
      <w:r>
        <w:rPr>
          <w:rtl w:val="1"/>
        </w:rPr>
        <w:t>الشرح: الدلالة: إعمار الأرض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