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لزوم السنّة-كتاب السنّة-سنن أبي داود — رقم الحديث: 4622 — الرقم الفرعي: 99 — الرقم الأصلي: 4622</w:t>
        <w:br/>
      </w:r>
      <w:r>
        <w:rPr>
          <w:rtl w:val="1"/>
        </w:rPr>
        <w:t xml:space="preserve"> حدثنا سليمان بن حرب قال:ثنا حماد</w:t>
        <w:br/>
      </w:r>
      <w:r>
        <w:rPr>
          <w:color w:val="000000"/>
          <w:rtl w:val="1"/>
        </w:rPr>
        <w:t xml:space="preserve">سمعتُ أيوبَ يقول:  </w:t>
      </w:r>
      <w:r>
        <w:rPr>
          <w:color w:val="FF0000"/>
          <w:rtl w:val="1"/>
        </w:rPr>
        <w:t xml:space="preserve">كذَبَ على الحَسنِ ضَرْبانِ من النّاس:  </w:t>
      </w:r>
      <w:r>
        <w:rPr>
          <w:color w:val="FF0000"/>
          <w:rtl w:val="1"/>
        </w:rPr>
        <w:t xml:space="preserve">قومٌ القَدَرُ رأيُهم، وهم يُريدونَ أن يُنَفِّقوا بذلك رأيَهم،  </w:t>
      </w:r>
      <w:r>
        <w:rPr>
          <w:color w:val="FF0000"/>
          <w:rtl w:val="1"/>
        </w:rPr>
        <w:t xml:space="preserve">وقومٌ له في قُلوبِهم شَنَآنٌ وبُغْض، يقولونَ: أَليسَ مِن قولِه كذا؟ أَليسَ مِن قولِه كذا؟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الفِرَق</w:t>
      </w:r>
    </w:p>
    <w:p>
      <w:pPr>
        <w:bidi w:val="1"/>
        <w:jc w:val="start"/>
      </w:pPr>
      <w:r>
        <w:rPr>
          <w:rtl w:val="1"/>
        </w:rPr>
        <w:t>الشرح: الدلالة: القدرية والزنادقة - الفِرَق</w:t>
      </w:r>
    </w:p>
    <w:p>
      <w:pPr>
        <w:bidi w:val="1"/>
        <w:jc w:val="start"/>
      </w:pPr>
      <w:r>
        <w:rPr>
          <w:rtl w:val="1"/>
        </w:rPr>
        <w:t>الشرح: الدلالة: متفرقات في الفرق - الفِرَق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التفرق والاختلاف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طبقات التابعين - التابعون</w:t>
      </w:r>
    </w:p>
    <w:p>
      <w:pPr>
        <w:bidi w:val="1"/>
        <w:jc w:val="start"/>
      </w:pPr>
      <w:r>
        <w:rPr>
          <w:rtl w:val="1"/>
        </w:rPr>
        <w:t>الشرح: الدلالة: المبحث الثاني: الفتن المتعلقة بالبدع في أصول الدين وفروعه - الفتن المتعلقة بالعقائد والعبادات</w:t>
      </w:r>
    </w:p>
    <w:p>
      <w:pPr>
        <w:bidi w:val="1"/>
        <w:jc w:val="start"/>
      </w:pPr>
      <w:r>
        <w:rPr>
          <w:rtl w:val="1"/>
        </w:rPr>
        <w:t>الشرح: الدلالة: المبحث السادس: فتنة الناس عن دينهم وعقيدتهم - الفتن المتعلقة بالعقائد والعبادات</w:t>
      </w:r>
    </w:p>
    <w:p>
      <w:pPr>
        <w:bidi w:val="1"/>
        <w:jc w:val="start"/>
      </w:pPr>
      <w:r>
        <w:rPr>
          <w:rtl w:val="1"/>
        </w:rPr>
        <w:t>الشرح: الدلالة: المطلب الثاني: الفتن في عهد يزيد بن معاوية وابن الزبير وعبد الملك بن مروان والحجاج - فتن الحكم في أواخر عهد الخلافة الراشدة وما بعده</w:t>
      </w:r>
    </w:p>
    <w:p>
      <w:pPr>
        <w:bidi w:val="1"/>
        <w:jc w:val="start"/>
      </w:pPr>
      <w:r>
        <w:rPr>
          <w:rtl w:val="1"/>
        </w:rPr>
        <w:t>الشرح: الدلالة: حِجاج الصحابة والتابعين في القدر - الاحتجاج بالقدر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