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5634 — الرقم الفرعي: 99 — الرقم الأصلي: 5634 — ج: 2 — ص: 90</w:t>
        <w:br/>
      </w:r>
      <w:r>
        <w:rPr>
          <w:rtl w:val="1"/>
        </w:rPr>
        <w:t xml:space="preserve"> حدثنا يحيى بن آدم حدثنا حسن ملاحظة يعني ابن صالح عن فراس عن عطيّة العوفيّ عن ابن عمر</w:t>
        <w:br/>
      </w:r>
      <w:r>
        <w:rPr>
          <w:color w:val="000000"/>
          <w:rtl w:val="1"/>
        </w:rPr>
        <w:t xml:space="preserve">قال: صلَّيتُ مع رَسولِ الله ﷺ في الحَضَرِ والسَّفَر،  </w:t>
      </w:r>
      <w:r>
        <w:rPr>
          <w:color w:val="000000"/>
          <w:rtl w:val="1"/>
        </w:rPr>
        <w:t xml:space="preserve">فصَلَّى الظُّهرَ في الحَضَرِ أَربعًا، </w:t>
      </w:r>
      <w:r>
        <w:rPr>
          <w:color w:val="000000"/>
          <w:rtl w:val="1"/>
        </w:rPr>
        <w:t xml:space="preserve">وبعدَها رَكعَتَين،  </w:t>
      </w:r>
      <w:r>
        <w:rPr>
          <w:color w:val="000000"/>
          <w:rtl w:val="1"/>
        </w:rPr>
        <w:t xml:space="preserve">وصَلَّى العَصْرَ أَربعًا،  </w:t>
      </w:r>
      <w:r>
        <w:rPr>
          <w:color w:val="000000"/>
          <w:rtl w:val="1"/>
        </w:rPr>
        <w:t xml:space="preserve">وليس بعدَها شيء،  </w:t>
      </w:r>
      <w:r>
        <w:rPr>
          <w:color w:val="000000"/>
          <w:rtl w:val="1"/>
        </w:rPr>
        <w:t xml:space="preserve">وصَلَّى المَغرِبَ ثلاثًا،  </w:t>
      </w:r>
      <w:r>
        <w:rPr>
          <w:color w:val="000000"/>
          <w:rtl w:val="1"/>
        </w:rPr>
        <w:t xml:space="preserve">وبعدَها رَكعَتَين،  </w:t>
      </w:r>
      <w:r>
        <w:rPr>
          <w:color w:val="000000"/>
          <w:rtl w:val="1"/>
        </w:rPr>
        <w:t xml:space="preserve">وصَلَّى العِشاءَ أَربعًا،  </w:t>
      </w:r>
      <w:r>
        <w:rPr>
          <w:color w:val="000000"/>
          <w:rtl w:val="1"/>
        </w:rPr>
        <w:t xml:space="preserve">وصَلَّى في السَّفَر الظُّهرَ رَكعَتَين،  </w:t>
      </w:r>
      <w:r>
        <w:rPr>
          <w:color w:val="000000"/>
          <w:rtl w:val="1"/>
        </w:rPr>
        <w:t xml:space="preserve">وبَعدَها رَكعَتَين،  </w:t>
      </w:r>
      <w:r>
        <w:rPr>
          <w:color w:val="000000"/>
          <w:rtl w:val="1"/>
        </w:rPr>
        <w:t xml:space="preserve">والعَصرَ رَكعَتَين،  </w:t>
      </w:r>
      <w:r>
        <w:rPr>
          <w:color w:val="000000"/>
          <w:rtl w:val="1"/>
        </w:rPr>
        <w:t xml:space="preserve">وليس بعدَها شيءٌ،  </w:t>
      </w:r>
      <w:r>
        <w:rPr>
          <w:color w:val="000000"/>
          <w:rtl w:val="1"/>
        </w:rPr>
        <w:t xml:space="preserve">والمَغرِبَ ثلاثًا،  </w:t>
      </w:r>
      <w:r>
        <w:rPr>
          <w:color w:val="000000"/>
          <w:rtl w:val="1"/>
        </w:rPr>
        <w:t xml:space="preserve">وبعدَها رَكعَتَين،  </w:t>
      </w:r>
      <w:r>
        <w:rPr>
          <w:color w:val="000000"/>
          <w:rtl w:val="1"/>
        </w:rPr>
        <w:t xml:space="preserve">والعِشاءَ رَكعَتَين،  </w:t>
      </w:r>
      <w:r>
        <w:rPr>
          <w:color w:val="000000"/>
          <w:rtl w:val="1"/>
        </w:rPr>
        <w:t xml:space="preserve">وبعدَها رَكعَتَين.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