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البول قائماً-كتاب الطهارة وسننها-سنن ابن ماجة — رقم الحديث: 202 — الرقم الفرعي: 99 — الرقم الأصلي: 202</w:t>
        <w:br/>
      </w:r>
      <w:r>
        <w:rPr>
          <w:rtl w:val="1"/>
        </w:rPr>
        <w:t xml:space="preserve"> حدثنا هشام بن عمّار ثنا الوزير بن صُبيح ثنا يونس بن حَلبس عن أمّ الدّرداء عن أبي الدّرداء عن النبيّ صلى الله عليه وسلم</w:t>
        <w:br/>
      </w:r>
      <w:r>
        <w:rPr>
          <w:color w:val="000000"/>
          <w:rtl w:val="1"/>
        </w:rPr>
        <w:t xml:space="preserve">في قَولِه تعالى: {كُلَّ يَوْمٍ هُوَ فِي شَأْنٍ} [الرحمن: 29]،  </w:t>
      </w:r>
      <w:r>
        <w:rPr>
          <w:color w:val="FF0000"/>
          <w:rtl w:val="1"/>
        </w:rPr>
        <w:t xml:space="preserve">قال: «مِن شأْنِه أَن يَغْفِرَ ذَنبًا،  </w:t>
      </w:r>
      <w:r>
        <w:rPr>
          <w:color w:val="000000"/>
          <w:rtl w:val="1"/>
        </w:rPr>
        <w:t xml:space="preserve">ويُفَرِّجَ كَرْبًا،  </w:t>
      </w:r>
      <w:r>
        <w:rPr>
          <w:color w:val="000000"/>
          <w:rtl w:val="1"/>
        </w:rPr>
        <w:t xml:space="preserve">ويَرْفَعَ قَومًا،  </w:t>
      </w:r>
      <w:r>
        <w:rPr>
          <w:color w:val="000000"/>
          <w:rtl w:val="1"/>
        </w:rPr>
        <w:t xml:space="preserve">ويَخفِضَ آخَرِين».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