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الرجل إذا طعم-كتاب الأطعمة-سنن أبي داود — رقم الحديث: 3850 — الرقم الفرعي: 99 — الرقم الأصلي: 3850</w:t>
        <w:br/>
      </w:r>
      <w:r>
        <w:rPr>
          <w:rtl w:val="1"/>
        </w:rPr>
        <w:t xml:space="preserve"> حدثنا محمد بن العلاء ثنا وكيع عن سفيان عن أبي هاشم الواسطيّ عن إسماعيل بن رباح عن أبيه أو غيره عن أبي سعيد الخدريّ</w:t>
        <w:br/>
      </w:r>
      <w:r>
        <w:rPr>
          <w:color w:val="FF0000"/>
          <w:rtl w:val="1"/>
        </w:rPr>
        <w:t xml:space="preserve">أنَّ النّبيَّ ﷺ كان إذا فَرَغَ من طعامِه، قال: «الحمدُ للهِ الذي أَطعَمَنا وسَقَانا، وجعَلَنا مُسلِمين».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الأذكار للطعام والشراب و أدعيته - الأذكار والدعوات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أدعية الطعام - آداب تناول الطعام والشراب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عند الطعام والشراب وبعدهما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